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96bf1369f6746c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11017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SVETVINČENAT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792.015,23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868.931,64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720.834,52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921.788,04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52.856,40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22.830,69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22.299,07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22.830,69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22.299,07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75.155,47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Osnovna škola Svetvinčenat posluje u skladu sa Zakonom o odgoju i obrazovanju u osnovnoj i srednjoj školi te Statutom škole. Vodi proračunsko računovodstvo temeljem Pravilnika o proračunskom računovodstvu i Računskom planu, a financijske izvještaje sastavlja i predaje u skladu s odredbama Pravilnika o financijskom izvještavanju u proračunskom računovodstvu. </w:t>
      </w:r>
    </w:p>
    <w:p>
      <w:r>
        <w:t xml:space="preserve">Zbog kibernetičkog napada na Istarsku županiju, nismo bili u mogućnosti pravovremeno izvršiti obveze prema dobavljačima, te su obveze ostale nepodmirene. Obveze prema dobavljačima iz prošle godine podmirene su u siječnju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792.015,23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868.931,64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Najznačajnji utjecaj zbog rasta plaća i broja zaposlenih. Ostalo posebno pojašnjeno.</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124.030,99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163.231,66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w:t>
            </w:r>
          </w:p>
        </w:tc>
      </w:tr>
    </w:tbl>
    <w:p>
      <w:pPr>
        <w:spacing w:before="0" w:after="0"/>
      </w:pPr>
    </w:p>
    <w:p>
      <w:r>
        <w:t xml:space="preserve">Iz nadležnog proračuna financiraju se pomoćnici u nastavi, produženi boravak, građanski odgoj. Povećani prihodi odraz su rasta plaća povećanja broja pomoćnika u nastavi i materijalnih rashoda, radi odlaska većeg broja djelatnika na službana putovanja, usavršavanja i seminare.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565.791,90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740.846,12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w:t>
            </w:r>
          </w:p>
        </w:tc>
      </w:tr>
    </w:tbl>
    <w:p>
      <w:pPr>
        <w:spacing w:before="0" w:after="0"/>
      </w:pPr>
    </w:p>
    <w:p>
      <w:r>
        <w:t xml:space="preserve">Dolazi do povećanja rashoda za zaposlene iz razloga što su povećane osnovice za obračun plaće od strane Ministarstva, te povećan je broj djelatnika u odnosu na isto razdoblje lani.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232,9</w:t>
            </w:r>
          </w:p>
        </w:tc>
      </w:tr>
    </w:tbl>
    <w:p>
      <w:pPr>
        <w:spacing w:before="0" w:after="0"/>
      </w:pPr>
    </w:p>
    <w:p>
      <w:r>
        <w:t xml:space="preserve">Utrošeno je više materijala za tekuće i investicijsko održavanje zbog rekonstrukcije i dogradnje škole.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623,9</w:t>
            </w:r>
          </w:p>
        </w:tc>
      </w:tr>
    </w:tbl>
    <w:p>
      <w:pPr>
        <w:spacing w:before="0" w:after="0"/>
      </w:pPr>
    </w:p>
    <w:p>
      <w:r>
        <w:t xml:space="preserve">Zbog nabave psiholoških testova za dijagnostička pomagala,  došlo je do porasta indeksa na kontu 3299.</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21.737,95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w:t>
            </w:r>
          </w:p>
        </w:tc>
      </w:tr>
    </w:tbl>
    <w:p>
      <w:pPr>
        <w:spacing w:before="0" w:after="0"/>
      </w:pPr>
    </w:p>
    <w:p>
      <w:r>
        <w:t xml:space="preserve">Do povećanih rashoda došlo je zbog rekonstrukcije i dogradnje škole.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296,5</w:t>
            </w:r>
          </w:p>
        </w:tc>
      </w:tr>
    </w:tbl>
    <w:p>
      <w:pPr>
        <w:spacing w:before="0" w:after="0"/>
      </w:pPr>
    </w:p>
    <w:p>
      <w:r>
        <w:t xml:space="preserve">Zbog promjene načina evidentiranja potraživanja, došlo je do porasta indeksa.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45.431,43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78.006,56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171,7</w:t>
            </w:r>
          </w:p>
        </w:tc>
      </w:tr>
    </w:tbl>
    <w:p>
      <w:pPr>
        <w:spacing w:before="0" w:after="0"/>
      </w:pPr>
    </w:p>
    <w:p>
      <w:r>
        <w:t xml:space="preserve">Promjena u računovodstvenom evidentiranju plaća. Ukinut je konto 193_kontinuirani rashodi.</w:t>
      </w:r>
      <w:r>
        <w:br/>
      </w:r>
      <w:r>
        <w:t xml:space="preserve">Trošak plaće je rashod i za isti je obračunato potraživanje iz proračuna.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ispravak vrijednosti.</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ispravak vrijednosti.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iznose 6.054,21 eura od čega se 5.715,24 eura odnosi na obveze za materijalne rashode,  dok je 338,97 eura obveza za nabavu nefinancijske imovine. Razlog nepodmirenju obveza prema dobavljačima je kibernetički napad na informatički sustav Istarske županije.</w:t>
      </w:r>
    </w:p>
    <w:p/>
    <w:p>
      <w:pPr>
        <w:jc w:val="center"/>
        <w:pStyle w:val="Normal"/>
        <w:spacing w:line="240" w:lineRule="auto"/>
        <w:keepNext/>
      </w:pPr>
      <w:r>
        <w:rPr>
          <w:sz w:val="28"/>
          <w:rFonts w:ascii="Times New Roman" w:hAnsi="Times New Roman"/>
        </w:rPr>
        <w:t xml:space="preserve">Bilješka 13.</w:t>
      </w:r>
    </w:p>
    <w:p>
      <w:pPr>
        <w:jc w:val="both"/>
        <w:pStyle w:val="Normal"/>
        <w:spacing w:line="240" w:lineRule="auto"/>
      </w:pPr>
      <w:r>
        <w:rPr>
          <w:b/>
          <w:sz w:val="24"/>
          <w:rFonts w:ascii="Times New Roman" w:hAnsi="Times New Roman"/>
        </w:rPr>
        <w:t xml:space="preserve">EU izvještaj</w:t>
      </w:r>
    </w:p>
    <w:p>
      <w:r>
        <w:t xml:space="preserve">Projektom MOZAIK 7 daje se snažna podrška integraciji djece s teškoćama u razvoju u redovne odgojno - obrazovne ustanove, osiguravanjem pomoćnika u nastavi/stručnih komunikacijskih posrednika koji će im pružati neposrednu potporu tijekom odgojno - obrazovnog procesa. </w:t>
      </w:r>
    </w:p>
    <w:p>
      <w:r>
        <w:t xml:space="preserve">Projekt se provodi u okviru Operativnog programa Učinkoviti ljudski potencijali 2021.- 2027., a sufinancira ga Europska unija iz Europskog socijalnog fonda plus.</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e19d8798c404ce5" /></Relationships>
</file>