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0260" w:leader="none"/>
        </w:tabs>
        <w:ind w:right="-1188" w:hanging="0"/>
        <w:rPr/>
      </w:pPr>
      <w:r>
        <w:rPr>
          <w:b/>
          <w:sz w:val="18"/>
          <w:szCs w:val="18"/>
        </w:rPr>
        <w:t>Naziv obveznika: Osnovna škola Svetvinčenat</w:t>
      </w:r>
    </w:p>
    <w:p>
      <w:pPr>
        <w:pStyle w:val="Normal"/>
        <w:rPr>
          <w:b/>
          <w:b/>
          <w:sz w:val="18"/>
          <w:szCs w:val="18"/>
        </w:rPr>
      </w:pPr>
      <w:r>
        <w:rPr>
          <w:b/>
          <w:sz w:val="18"/>
          <w:szCs w:val="18"/>
        </w:rPr>
        <w:t>Broj RKP-a: 11017</w:t>
      </w:r>
    </w:p>
    <w:p>
      <w:pPr>
        <w:pStyle w:val="Normal"/>
        <w:rPr>
          <w:b/>
          <w:b/>
          <w:sz w:val="18"/>
          <w:szCs w:val="18"/>
        </w:rPr>
      </w:pPr>
      <w:r>
        <w:rPr>
          <w:b/>
          <w:sz w:val="18"/>
          <w:szCs w:val="18"/>
        </w:rPr>
        <w:t>Matični broj: 03203590</w:t>
      </w:r>
    </w:p>
    <w:p>
      <w:pPr>
        <w:pStyle w:val="Normal"/>
        <w:rPr>
          <w:b/>
          <w:b/>
          <w:sz w:val="18"/>
          <w:szCs w:val="18"/>
        </w:rPr>
      </w:pPr>
      <w:r>
        <w:rPr>
          <w:b/>
          <w:sz w:val="18"/>
          <w:szCs w:val="18"/>
        </w:rPr>
        <w:t xml:space="preserve">OIB: 92363347984               </w:t>
      </w:r>
    </w:p>
    <w:p>
      <w:pPr>
        <w:pStyle w:val="Normal"/>
        <w:rPr>
          <w:b/>
          <w:b/>
          <w:sz w:val="18"/>
          <w:szCs w:val="18"/>
        </w:rPr>
      </w:pPr>
      <w:r>
        <w:rPr>
          <w:b/>
          <w:sz w:val="18"/>
          <w:szCs w:val="18"/>
        </w:rPr>
        <w:t xml:space="preserve">Pošta i mjesto: 52342 Svetvinčenat               </w:t>
      </w:r>
    </w:p>
    <w:p>
      <w:pPr>
        <w:pStyle w:val="Normal"/>
        <w:rPr>
          <w:b/>
          <w:b/>
          <w:sz w:val="18"/>
          <w:szCs w:val="18"/>
        </w:rPr>
      </w:pPr>
      <w:r>
        <w:rPr>
          <w:b/>
          <w:sz w:val="18"/>
          <w:szCs w:val="18"/>
        </w:rPr>
        <w:t xml:space="preserve">Adresa sjedišta: Svetvinčenat 98                                                                                                                                                                                </w:t>
      </w:r>
    </w:p>
    <w:p>
      <w:pPr>
        <w:pStyle w:val="Normal"/>
        <w:rPr>
          <w:b/>
          <w:b/>
          <w:sz w:val="18"/>
          <w:szCs w:val="18"/>
        </w:rPr>
      </w:pPr>
      <w:r>
        <w:rPr>
          <w:b/>
          <w:sz w:val="18"/>
          <w:szCs w:val="18"/>
        </w:rPr>
        <w:t>Razina: 31</w:t>
      </w:r>
    </w:p>
    <w:p>
      <w:pPr>
        <w:pStyle w:val="Normal"/>
        <w:rPr>
          <w:b/>
          <w:b/>
          <w:sz w:val="18"/>
          <w:szCs w:val="18"/>
        </w:rPr>
      </w:pPr>
      <w:r>
        <w:rPr>
          <w:b/>
          <w:sz w:val="18"/>
          <w:szCs w:val="18"/>
        </w:rPr>
        <w:t>Razdjel: 0</w:t>
      </w:r>
    </w:p>
    <w:p>
      <w:pPr>
        <w:pStyle w:val="Normal"/>
        <w:rPr>
          <w:b/>
          <w:b/>
          <w:sz w:val="18"/>
          <w:szCs w:val="18"/>
        </w:rPr>
      </w:pPr>
      <w:r>
        <w:rPr>
          <w:b/>
          <w:sz w:val="18"/>
          <w:szCs w:val="18"/>
        </w:rPr>
        <w:t xml:space="preserve">Šifra djelatnosti: 8520 Osnovno obrazovanje             </w:t>
      </w:r>
    </w:p>
    <w:p>
      <w:pPr>
        <w:pStyle w:val="Normal"/>
        <w:rPr>
          <w:b/>
          <w:b/>
          <w:sz w:val="18"/>
          <w:szCs w:val="18"/>
        </w:rPr>
      </w:pPr>
      <w:r>
        <w:rPr>
          <w:b/>
          <w:sz w:val="18"/>
          <w:szCs w:val="18"/>
        </w:rPr>
        <w:t>Šifra županije:  18 Istarska</w:t>
      </w:r>
    </w:p>
    <w:p>
      <w:pPr>
        <w:pStyle w:val="Normal"/>
        <w:rPr>
          <w:b/>
          <w:b/>
          <w:sz w:val="18"/>
          <w:szCs w:val="18"/>
        </w:rPr>
      </w:pPr>
      <w:r>
        <w:rPr>
          <w:b/>
          <w:sz w:val="18"/>
          <w:szCs w:val="18"/>
        </w:rPr>
        <w:t>Šifra općine:  435 Svetvinčenat</w:t>
      </w:r>
    </w:p>
    <w:p>
      <w:pPr>
        <w:pStyle w:val="Normal"/>
        <w:numPr>
          <w:ilvl w:val="0"/>
          <w:numId w:val="0"/>
        </w:numPr>
        <w:outlineLvl w:val="0"/>
        <w:rPr>
          <w:b/>
          <w:b/>
          <w:sz w:val="18"/>
          <w:szCs w:val="18"/>
        </w:rPr>
      </w:pPr>
      <w:r>
        <w:rPr>
          <w:b/>
          <w:sz w:val="18"/>
          <w:szCs w:val="18"/>
        </w:rPr>
        <w:t>Oznaka razdoblja: 2021-12</w:t>
      </w:r>
    </w:p>
    <w:p>
      <w:pPr>
        <w:pStyle w:val="Normal"/>
        <w:rPr/>
      </w:pPr>
      <w:r>
        <w:rPr/>
      </w:r>
    </w:p>
    <w:p>
      <w:pPr>
        <w:pStyle w:val="Normal"/>
        <w:rPr>
          <w:b/>
          <w:b/>
        </w:rPr>
      </w:pPr>
      <w:r>
        <w:rPr>
          <w:b/>
        </w:rPr>
      </w:r>
    </w:p>
    <w:p>
      <w:pPr>
        <w:pStyle w:val="Normal"/>
        <w:rPr>
          <w:b/>
          <w:b/>
        </w:rPr>
      </w:pPr>
      <w:r>
        <w:rPr>
          <w:b/>
        </w:rPr>
      </w:r>
    </w:p>
    <w:p>
      <w:pPr>
        <w:pStyle w:val="Normal"/>
        <w:rPr>
          <w:b/>
          <w:b/>
        </w:rPr>
      </w:pPr>
      <w:r>
        <w:rPr>
          <w:b/>
        </w:rPr>
      </w:r>
    </w:p>
    <w:p>
      <w:pPr>
        <w:pStyle w:val="Normal"/>
        <w:numPr>
          <w:ilvl w:val="0"/>
          <w:numId w:val="0"/>
        </w:numPr>
        <w:jc w:val="center"/>
        <w:outlineLvl w:val="0"/>
        <w:rPr>
          <w:b/>
          <w:b/>
        </w:rPr>
      </w:pPr>
      <w:r>
        <w:rPr>
          <w:b/>
        </w:rPr>
        <w:t>BILJEŠKE</w:t>
      </w:r>
    </w:p>
    <w:p>
      <w:pPr>
        <w:pStyle w:val="Normal"/>
        <w:numPr>
          <w:ilvl w:val="0"/>
          <w:numId w:val="0"/>
        </w:numPr>
        <w:jc w:val="center"/>
        <w:outlineLvl w:val="0"/>
        <w:rPr>
          <w:b/>
          <w:b/>
        </w:rPr>
      </w:pPr>
      <w:r>
        <w:rPr>
          <w:b/>
        </w:rPr>
        <w:t>UZ FINANCIJSKE IZVJEŠTAJE ZA 2021. GODINU</w:t>
      </w:r>
    </w:p>
    <w:p>
      <w:pPr>
        <w:pStyle w:val="Normal"/>
        <w:rPr/>
      </w:pPr>
      <w:r>
        <w:rPr/>
      </w:r>
    </w:p>
    <w:p>
      <w:pPr>
        <w:pStyle w:val="Normal"/>
        <w:jc w:val="center"/>
        <w:rPr>
          <w:b/>
          <w:b/>
        </w:rPr>
      </w:pPr>
      <w:r>
        <w:rPr>
          <w:b/>
        </w:rPr>
      </w:r>
    </w:p>
    <w:p>
      <w:pPr>
        <w:pStyle w:val="Normal"/>
        <w:jc w:val="center"/>
        <w:rPr>
          <w:b/>
          <w:b/>
        </w:rPr>
      </w:pPr>
      <w:r>
        <w:rPr>
          <w:b/>
        </w:rPr>
      </w:r>
    </w:p>
    <w:p>
      <w:pPr>
        <w:pStyle w:val="Normal"/>
        <w:jc w:val="center"/>
        <w:rPr>
          <w:b/>
          <w:b/>
        </w:rPr>
      </w:pPr>
      <w:r>
        <w:rPr>
          <w:b/>
        </w:rPr>
        <w:t xml:space="preserve">BILJEŠKE </w:t>
      </w:r>
    </w:p>
    <w:p>
      <w:pPr>
        <w:pStyle w:val="Normal"/>
        <w:jc w:val="center"/>
        <w:rPr>
          <w:b/>
          <w:b/>
        </w:rPr>
      </w:pPr>
      <w:r>
        <w:rPr>
          <w:b/>
        </w:rPr>
        <w:t xml:space="preserve">uz izvještaj o prihodima i rashodima, primicima i izdacima </w:t>
      </w:r>
    </w:p>
    <w:p>
      <w:pPr>
        <w:pStyle w:val="Normal"/>
        <w:jc w:val="center"/>
        <w:rPr>
          <w:b/>
          <w:b/>
        </w:rPr>
      </w:pPr>
      <w:r>
        <w:rPr>
          <w:b/>
        </w:rPr>
        <w:t>Obrazac PR-RAS</w:t>
      </w:r>
    </w:p>
    <w:p>
      <w:pPr>
        <w:pStyle w:val="Normal"/>
        <w:rPr/>
      </w:pPr>
      <w:r>
        <w:rPr/>
      </w:r>
    </w:p>
    <w:p>
      <w:pPr>
        <w:pStyle w:val="Normal"/>
        <w:rPr>
          <w:b/>
          <w:b/>
          <w:i/>
          <w:i/>
        </w:rPr>
      </w:pPr>
      <w:r>
        <w:rPr>
          <w:b/>
          <w:i/>
        </w:rPr>
        <w:t>AOP 064 Tekuće pomoći proračunskim korisnicima iz proračuna koji im nije nadležan</w:t>
      </w:r>
    </w:p>
    <w:p>
      <w:pPr>
        <w:pStyle w:val="Normal"/>
        <w:rPr/>
      </w:pPr>
      <w:r>
        <w:rPr/>
        <w:t>Pozicija obuhvaća prihode iz proračuna Ministarstva znanosti i obrazovanja za plaće i naknade za zaposlene i podmirenje novčane naknade zbog neispunjenja kvote za zapošljavanje osoba s invaliditetom, te prihode iz proračuna Općine Svetvinčenat za plaću učitelja u produženom boravku i sufinanciranje školske marende, prigodnih nagrada za učenike, redovne djelatnosti i ostalih programa i projekata škole.</w:t>
      </w:r>
    </w:p>
    <w:p>
      <w:pPr>
        <w:pStyle w:val="Normal"/>
        <w:rPr/>
      </w:pPr>
      <w:r>
        <w:rPr/>
      </w:r>
    </w:p>
    <w:p>
      <w:pPr>
        <w:pStyle w:val="Normal"/>
        <w:rPr>
          <w:b/>
          <w:b/>
          <w:i/>
          <w:i/>
        </w:rPr>
      </w:pPr>
      <w:r>
        <w:rPr>
          <w:b/>
          <w:i/>
        </w:rPr>
        <w:t>AOP 065 Kapitalne pomoći proračunskim korisnicima iz proračuna koji im nije nadležan</w:t>
      </w:r>
    </w:p>
    <w:p>
      <w:pPr>
        <w:pStyle w:val="Normal"/>
        <w:rPr/>
      </w:pPr>
      <w:r>
        <w:rPr/>
        <w:t xml:space="preserve">Pozicija obuhvaća sredstva Ministarstva znanosti i obrazovanja za nabavu opreme, udžbenika i knjiga za školsku knjižnicu, za potrebe provedbe školskog kurikuluma.  </w:t>
      </w:r>
    </w:p>
    <w:p>
      <w:pPr>
        <w:pStyle w:val="Normal"/>
        <w:rPr/>
      </w:pPr>
      <w:r>
        <w:rPr/>
      </w:r>
    </w:p>
    <w:p>
      <w:pPr>
        <w:pStyle w:val="Normal"/>
        <w:rPr>
          <w:b/>
          <w:b/>
          <w:i/>
          <w:i/>
        </w:rPr>
      </w:pPr>
      <w:r>
        <w:rPr>
          <w:b/>
          <w:i/>
        </w:rPr>
        <w:t>AOP 070 Tekuće pomoći temeljem prijenosa EU sredstava</w:t>
      </w:r>
    </w:p>
    <w:p>
      <w:pPr>
        <w:pStyle w:val="Normal"/>
        <w:rPr/>
      </w:pPr>
      <w:r>
        <w:rPr/>
        <w:t xml:space="preserve">Pozicija obuhvaća prihode po osnovi provedbe projekta Školske sheme – poticanje uvođenja voća, povrća, mlijeka i mliječnih proizvoda u školsku marendu. </w:t>
      </w:r>
    </w:p>
    <w:p>
      <w:pPr>
        <w:pStyle w:val="Normal"/>
        <w:rPr/>
      </w:pPr>
      <w:r>
        <w:rPr/>
      </w:r>
    </w:p>
    <w:p>
      <w:pPr>
        <w:pStyle w:val="Normal"/>
        <w:rPr>
          <w:b/>
          <w:b/>
          <w:i/>
          <w:i/>
        </w:rPr>
      </w:pPr>
      <w:r>
        <w:rPr>
          <w:b/>
          <w:i/>
        </w:rPr>
        <w:t>AOP 112 Ostali nespomenuti prihodi</w:t>
      </w:r>
    </w:p>
    <w:p>
      <w:pPr>
        <w:pStyle w:val="Normal"/>
        <w:rPr/>
      </w:pPr>
      <w:r>
        <w:rPr/>
        <w:t>Pozicija obuhvaća prihode školske kuhinje od pružanja usluge prehrane učenicima i prihod od produženog boravka. Sredstvima sufinanciranja cijene usluge školske kuhinje i produženog boravka financira se redovno poslovanje i nabava opreme za potrebe obavljanja osnovne djelatnosti i pružanja dodatnih usluga prehrane i produženog boravka učenicima.</w:t>
      </w:r>
    </w:p>
    <w:p>
      <w:pPr>
        <w:pStyle w:val="Normal"/>
        <w:rPr/>
      </w:pPr>
      <w:r>
        <w:rPr/>
      </w:r>
    </w:p>
    <w:p>
      <w:pPr>
        <w:pStyle w:val="Normal"/>
        <w:rPr>
          <w:b/>
          <w:b/>
          <w:i/>
          <w:i/>
        </w:rPr>
      </w:pPr>
      <w:r>
        <w:rPr>
          <w:b/>
          <w:i/>
        </w:rPr>
        <w:t>AOP 122 Prihodi od pruženih usluga</w:t>
      </w:r>
    </w:p>
    <w:p>
      <w:pPr>
        <w:pStyle w:val="Normal"/>
        <w:rPr/>
      </w:pPr>
      <w:r>
        <w:rPr/>
        <w:t>Pozicija uključuje prihod od najma školskih prostorija i pružanja usluge prehrane zaposlenicima. Smanjenje prihoda u uvjetima pandemije.</w:t>
      </w:r>
    </w:p>
    <w:p>
      <w:pPr>
        <w:pStyle w:val="Normal"/>
        <w:rPr/>
      </w:pPr>
      <w:r>
        <w:rPr/>
      </w:r>
    </w:p>
    <w:p>
      <w:pPr>
        <w:pStyle w:val="Normal"/>
        <w:rPr>
          <w:b/>
          <w:b/>
          <w:i/>
          <w:i/>
        </w:rPr>
      </w:pPr>
      <w:r>
        <w:rPr>
          <w:b/>
          <w:i/>
        </w:rPr>
        <w:t>AOP 130 i 131 Prihodi iz nadležnog proračuna za financiranje rashoda poslovanja i rashoda za nabavu nefinancijske imovine</w:t>
      </w:r>
    </w:p>
    <w:p>
      <w:pPr>
        <w:pStyle w:val="Normal"/>
        <w:rPr/>
      </w:pPr>
      <w:r>
        <w:rPr/>
        <w:t xml:space="preserve">Pozicija obuhvaća prihode iz proračuna osnivača Istarske županije za financiranje redovne djelatnosti po minimalnom standardu iz decentraliziranih sredstava za osnovne škole, materijalnih rashoda po stvarnom trošku (redovni prijevoz učenika, obvezni zdravstveni pregledi zaposlenika, energenata i premija osiguranja imovine i zaposlenika), programa obrazovanja iznad standarda, tekućeg i investicijskog održavanja i nabavu nefinancijske imovine. Povećanje na poziciji AOP 131 odnosi se na rekonstrukciju sanitarnih čvorova u školi. </w:t>
      </w:r>
    </w:p>
    <w:p>
      <w:pPr>
        <w:pStyle w:val="Normal"/>
        <w:rPr/>
      </w:pPr>
      <w:r>
        <w:rPr/>
      </w:r>
    </w:p>
    <w:p>
      <w:pPr>
        <w:pStyle w:val="Normal"/>
        <w:rPr>
          <w:b/>
          <w:b/>
          <w:i/>
          <w:i/>
        </w:rPr>
      </w:pPr>
      <w:r>
        <w:rPr>
          <w:b/>
          <w:i/>
        </w:rPr>
        <w:t>AOP 174 Usluge tekućeg i investicijskog održavanja</w:t>
      </w:r>
    </w:p>
    <w:p>
      <w:pPr>
        <w:pStyle w:val="Normal"/>
        <w:rPr/>
      </w:pPr>
      <w:r>
        <w:rPr/>
        <w:t>Povećanje na poziciji odnosi se na ulaganje u rekonstrukciju plinskih instalacija i ugradnju vanjskog plinskog spremnika za potrebe školske kuhinje.</w:t>
      </w:r>
    </w:p>
    <w:p>
      <w:pPr>
        <w:pStyle w:val="Normal"/>
        <w:rPr/>
      </w:pPr>
      <w:r>
        <w:rPr/>
      </w:r>
    </w:p>
    <w:p>
      <w:pPr>
        <w:pStyle w:val="Normal"/>
        <w:rPr>
          <w:b/>
          <w:b/>
          <w:i/>
          <w:i/>
        </w:rPr>
      </w:pPr>
      <w:r>
        <w:rPr>
          <w:b/>
          <w:i/>
        </w:rPr>
        <w:t>AOP 208 Zatezne kamate</w:t>
      </w:r>
    </w:p>
    <w:p>
      <w:pPr>
        <w:pStyle w:val="Normal"/>
        <w:rPr/>
      </w:pPr>
      <w:r>
        <w:rPr/>
        <w:t>Povećanje na poziciji odnosi se na kamate po sudskoj presudi za potraživanja po osnovi uvećanja bruto osnovice za obračun plaće.</w:t>
      </w:r>
    </w:p>
    <w:p>
      <w:pPr>
        <w:pStyle w:val="Normal"/>
        <w:rPr/>
      </w:pPr>
      <w:r>
        <w:rPr/>
      </w:r>
    </w:p>
    <w:p>
      <w:pPr>
        <w:pStyle w:val="Normal"/>
        <w:rPr>
          <w:b/>
          <w:b/>
          <w:i/>
          <w:i/>
        </w:rPr>
      </w:pPr>
      <w:r>
        <w:rPr>
          <w:b/>
          <w:i/>
        </w:rPr>
        <w:t>AOP 256 Naknade građanima i kućanstvima u naravi</w:t>
      </w:r>
    </w:p>
    <w:p>
      <w:pPr>
        <w:pStyle w:val="Normal"/>
        <w:rPr/>
      </w:pPr>
      <w:r>
        <w:rPr/>
        <w:t xml:space="preserve">Pozicija obuhvaća trošak redovnog prijevoza učenika u školu i iz škole. Uslugu ugovara i financira osnivač Istarska županija putem objedinjenog postupka javne nabave. Pozicija također uključuje trošak radnih udžbenika koje osigurava za sve učenike Ministarstvo znanosti i obrazovanja.  </w:t>
      </w:r>
    </w:p>
    <w:p>
      <w:pPr>
        <w:pStyle w:val="Normal"/>
        <w:rPr/>
      </w:pPr>
      <w:r>
        <w:rPr/>
      </w:r>
    </w:p>
    <w:p>
      <w:pPr>
        <w:pStyle w:val="Normal"/>
        <w:rPr>
          <w:b/>
          <w:b/>
          <w:i/>
          <w:i/>
        </w:rPr>
      </w:pPr>
      <w:r>
        <w:rPr>
          <w:b/>
          <w:i/>
        </w:rPr>
        <w:t>AOP 397 Dodatna ulaganja na građevinskim objektima</w:t>
      </w:r>
    </w:p>
    <w:p>
      <w:pPr>
        <w:pStyle w:val="Normal"/>
        <w:rPr/>
      </w:pPr>
      <w:r>
        <w:rPr/>
        <w:t>Povećanje na poziciji odnosi se na ulaganje u rekonstrukciju sanitarnih čvorova u školi.</w:t>
      </w:r>
    </w:p>
    <w:p>
      <w:pPr>
        <w:pStyle w:val="Normal"/>
        <w:rPr/>
      </w:pPr>
      <w:r>
        <w:rPr/>
      </w:r>
    </w:p>
    <w:p>
      <w:pPr>
        <w:pStyle w:val="Normal"/>
        <w:rPr>
          <w:b/>
          <w:b/>
          <w:i/>
          <w:i/>
        </w:rPr>
      </w:pPr>
      <w:r>
        <w:rPr>
          <w:b/>
          <w:i/>
        </w:rPr>
        <w:t>AOP 638 Višak prihoda i primitaka raspoloživ u sljedećem razdoblju</w:t>
      </w:r>
    </w:p>
    <w:p>
      <w:pPr>
        <w:pStyle w:val="Normal"/>
        <w:rPr>
          <w:u w:val="single"/>
        </w:rPr>
      </w:pPr>
      <w:r>
        <w:rPr>
          <w:u w:val="single"/>
        </w:rPr>
      </w:r>
    </w:p>
    <w:p>
      <w:pPr>
        <w:pStyle w:val="Normal"/>
        <w:rPr/>
      </w:pPr>
      <w:r>
        <w:rPr/>
        <w:t>Obračun rezultata:</w:t>
      </w:r>
    </w:p>
    <w:p>
      <w:pPr>
        <w:pStyle w:val="Normal"/>
        <w:rPr/>
      </w:pPr>
      <w:r>
        <w:rPr/>
      </w:r>
    </w:p>
    <w:tbl>
      <w:tblPr>
        <w:tblStyle w:val="Reetkatablice"/>
        <w:tblW w:w="8840" w:type="dxa"/>
        <w:jc w:val="left"/>
        <w:tblInd w:w="-5" w:type="dxa"/>
        <w:tblCellMar>
          <w:top w:w="0" w:type="dxa"/>
          <w:left w:w="103" w:type="dxa"/>
          <w:bottom w:w="0" w:type="dxa"/>
          <w:right w:w="108" w:type="dxa"/>
        </w:tblCellMar>
        <w:tblLook w:firstRow="1" w:noVBand="1" w:lastRow="0" w:firstColumn="1" w:lastColumn="0" w:noHBand="0" w:val="04a0"/>
      </w:tblPr>
      <w:tblGrid>
        <w:gridCol w:w="6053"/>
        <w:gridCol w:w="1237"/>
        <w:gridCol w:w="1550"/>
      </w:tblGrid>
      <w:tr>
        <w:trPr/>
        <w:tc>
          <w:tcPr>
            <w:tcW w:w="6053" w:type="dxa"/>
            <w:tcBorders/>
            <w:shd w:color="auto" w:fill="auto" w:val="clear"/>
          </w:tcPr>
          <w:p>
            <w:pPr>
              <w:pStyle w:val="Normal"/>
              <w:rPr/>
            </w:pPr>
            <w:r>
              <w:rPr/>
              <w:t>Višak prihoda poslovanja</w:t>
            </w:r>
          </w:p>
        </w:tc>
        <w:tc>
          <w:tcPr>
            <w:tcW w:w="1237" w:type="dxa"/>
            <w:tcBorders/>
            <w:shd w:color="auto" w:fill="auto" w:val="clear"/>
            <w:vAlign w:val="center"/>
          </w:tcPr>
          <w:p>
            <w:pPr>
              <w:pStyle w:val="Normal"/>
              <w:rPr/>
            </w:pPr>
            <w:r>
              <w:rPr/>
              <w:t>AOP 285</w:t>
            </w:r>
          </w:p>
        </w:tc>
        <w:tc>
          <w:tcPr>
            <w:tcW w:w="1550" w:type="dxa"/>
            <w:tcBorders/>
            <w:shd w:color="auto" w:fill="auto" w:val="clear"/>
          </w:tcPr>
          <w:p>
            <w:pPr>
              <w:pStyle w:val="Normal"/>
              <w:jc w:val="right"/>
              <w:rPr/>
            </w:pPr>
            <w:r>
              <w:rPr/>
              <w:t>368.827</w:t>
            </w:r>
          </w:p>
        </w:tc>
      </w:tr>
      <w:tr>
        <w:trPr/>
        <w:tc>
          <w:tcPr>
            <w:tcW w:w="6053" w:type="dxa"/>
            <w:tcBorders/>
            <w:shd w:color="auto" w:fill="auto" w:val="clear"/>
          </w:tcPr>
          <w:p>
            <w:pPr>
              <w:pStyle w:val="Normal"/>
              <w:rPr/>
            </w:pPr>
            <w:r>
              <w:rPr/>
              <w:t>Višak prihoda poslovanja - preneseni</w:t>
            </w:r>
          </w:p>
        </w:tc>
        <w:tc>
          <w:tcPr>
            <w:tcW w:w="1237" w:type="dxa"/>
            <w:tcBorders/>
            <w:shd w:color="auto" w:fill="auto" w:val="clear"/>
            <w:vAlign w:val="center"/>
          </w:tcPr>
          <w:p>
            <w:pPr>
              <w:pStyle w:val="Normal"/>
              <w:rPr/>
            </w:pPr>
            <w:r>
              <w:rPr/>
              <w:t>AOP 287</w:t>
            </w:r>
          </w:p>
        </w:tc>
        <w:tc>
          <w:tcPr>
            <w:tcW w:w="1550" w:type="dxa"/>
            <w:tcBorders/>
            <w:shd w:color="auto" w:fill="auto" w:val="clear"/>
          </w:tcPr>
          <w:p>
            <w:pPr>
              <w:pStyle w:val="Normal"/>
              <w:jc w:val="right"/>
              <w:rPr/>
            </w:pPr>
            <w:r>
              <w:rPr/>
              <w:t>14.065</w:t>
            </w:r>
          </w:p>
        </w:tc>
      </w:tr>
      <w:tr>
        <w:trPr/>
        <w:tc>
          <w:tcPr>
            <w:tcW w:w="6053" w:type="dxa"/>
            <w:tcBorders/>
            <w:shd w:color="auto" w:fill="auto" w:val="clear"/>
          </w:tcPr>
          <w:p>
            <w:pPr>
              <w:pStyle w:val="Normal"/>
              <w:rPr/>
            </w:pPr>
            <w:r>
              <w:rPr/>
              <w:t>Manjak prihoda od nefinancijske imovine</w:t>
            </w:r>
          </w:p>
        </w:tc>
        <w:tc>
          <w:tcPr>
            <w:tcW w:w="1237" w:type="dxa"/>
            <w:tcBorders/>
            <w:shd w:color="auto" w:fill="auto" w:val="clear"/>
            <w:vAlign w:val="center"/>
          </w:tcPr>
          <w:p>
            <w:pPr>
              <w:pStyle w:val="Normal"/>
              <w:rPr/>
            </w:pPr>
            <w:r>
              <w:rPr/>
              <w:t>AOP 402</w:t>
            </w:r>
          </w:p>
        </w:tc>
        <w:tc>
          <w:tcPr>
            <w:tcW w:w="1550" w:type="dxa"/>
            <w:tcBorders/>
            <w:shd w:color="auto" w:fill="auto" w:val="clear"/>
          </w:tcPr>
          <w:p>
            <w:pPr>
              <w:pStyle w:val="Normal"/>
              <w:jc w:val="right"/>
              <w:rPr/>
            </w:pPr>
            <w:r>
              <w:rPr/>
              <w:t>350.659</w:t>
            </w:r>
          </w:p>
        </w:tc>
      </w:tr>
      <w:tr>
        <w:trPr/>
        <w:tc>
          <w:tcPr>
            <w:tcW w:w="6053" w:type="dxa"/>
            <w:tcBorders/>
            <w:shd w:color="auto" w:fill="auto" w:val="clear"/>
          </w:tcPr>
          <w:p>
            <w:pPr>
              <w:pStyle w:val="Normal"/>
              <w:rPr/>
            </w:pPr>
            <w:r>
              <w:rPr/>
              <w:t>Višak prihoda od nefinancijske imovine - preneseni</w:t>
            </w:r>
          </w:p>
        </w:tc>
        <w:tc>
          <w:tcPr>
            <w:tcW w:w="1237" w:type="dxa"/>
            <w:tcBorders/>
            <w:shd w:color="auto" w:fill="auto" w:val="clear"/>
            <w:vAlign w:val="center"/>
          </w:tcPr>
          <w:p>
            <w:pPr>
              <w:pStyle w:val="Normal"/>
              <w:rPr/>
            </w:pPr>
            <w:r>
              <w:rPr/>
              <w:t>AOP 403</w:t>
            </w:r>
          </w:p>
        </w:tc>
        <w:tc>
          <w:tcPr>
            <w:tcW w:w="1550" w:type="dxa"/>
            <w:tcBorders/>
            <w:shd w:color="auto" w:fill="auto" w:val="clear"/>
          </w:tcPr>
          <w:p>
            <w:pPr>
              <w:pStyle w:val="Normal"/>
              <w:jc w:val="right"/>
              <w:rPr/>
            </w:pPr>
            <w:r>
              <w:rPr/>
              <w:t>13.930</w:t>
            </w:r>
          </w:p>
        </w:tc>
      </w:tr>
      <w:tr>
        <w:trPr/>
        <w:tc>
          <w:tcPr>
            <w:tcW w:w="6053" w:type="dxa"/>
            <w:tcBorders/>
            <w:shd w:color="auto" w:fill="auto" w:val="clear"/>
          </w:tcPr>
          <w:p>
            <w:pPr>
              <w:pStyle w:val="Normal"/>
              <w:rPr/>
            </w:pPr>
            <w:r>
              <w:rPr/>
              <w:t>Višak prihoda i primitaka raspoloživ u sljedećem razdoblju</w:t>
            </w:r>
          </w:p>
        </w:tc>
        <w:tc>
          <w:tcPr>
            <w:tcW w:w="1237" w:type="dxa"/>
            <w:tcBorders/>
            <w:shd w:color="auto" w:fill="auto" w:val="clear"/>
            <w:vAlign w:val="center"/>
          </w:tcPr>
          <w:p>
            <w:pPr>
              <w:pStyle w:val="Normal"/>
              <w:rPr/>
            </w:pPr>
            <w:r>
              <w:rPr/>
              <w:t>AOP 638</w:t>
            </w:r>
          </w:p>
        </w:tc>
        <w:tc>
          <w:tcPr>
            <w:tcW w:w="1550" w:type="dxa"/>
            <w:tcBorders/>
            <w:shd w:color="auto" w:fill="auto" w:val="clear"/>
            <w:vAlign w:val="center"/>
          </w:tcPr>
          <w:p>
            <w:pPr>
              <w:pStyle w:val="Normal"/>
              <w:jc w:val="right"/>
              <w:rPr>
                <w:b/>
                <w:b/>
              </w:rPr>
            </w:pPr>
            <w:r>
              <w:rPr>
                <w:b/>
              </w:rPr>
              <w:t>46.163</w:t>
            </w:r>
          </w:p>
        </w:tc>
      </w:tr>
    </w:tbl>
    <w:p>
      <w:pPr>
        <w:pStyle w:val="Normal"/>
        <w:rPr/>
      </w:pPr>
      <w:r>
        <w:rPr/>
      </w:r>
    </w:p>
    <w:p>
      <w:pPr>
        <w:pStyle w:val="Normal"/>
        <w:rPr>
          <w:b/>
          <w:b/>
          <w:i/>
          <w:i/>
        </w:rPr>
      </w:pPr>
      <w:r>
        <w:rPr>
          <w:b/>
          <w:i/>
        </w:rPr>
        <w:t>AOP 640 Unaprijed plaćeni rashodi budućih razdoblja i nedospjela naplata prihoda</w:t>
      </w:r>
    </w:p>
    <w:p>
      <w:pPr>
        <w:pStyle w:val="Normal"/>
        <w:rPr/>
      </w:pPr>
      <w:r>
        <w:rPr/>
        <w:t>Pozicija obuhvaća plaće i naknade za zaposlene za mjesec prosinac, isplaćene u siječnju 2022. godine.</w:t>
      </w:r>
    </w:p>
    <w:p>
      <w:pPr>
        <w:pStyle w:val="Normal"/>
        <w:rPr/>
      </w:pPr>
      <w:r>
        <w:rPr/>
      </w:r>
    </w:p>
    <w:p>
      <w:pPr>
        <w:pStyle w:val="Normal"/>
        <w:rPr>
          <w:b/>
          <w:b/>
          <w:i/>
          <w:i/>
        </w:rPr>
      </w:pPr>
      <w:r>
        <w:rPr>
          <w:b/>
          <w:i/>
        </w:rPr>
        <w:t>AOP 820 Ostale naknade iz proračuna u naravi</w:t>
      </w:r>
    </w:p>
    <w:p>
      <w:pPr>
        <w:pStyle w:val="Normal"/>
        <w:jc w:val="both"/>
        <w:rPr/>
      </w:pPr>
      <w:r>
        <w:rPr/>
        <w:t>Pozicija sadrži trošak nabave školskih radnih udžbenika za učenike koji su financirani iz državnog proračuna.</w:t>
      </w:r>
    </w:p>
    <w:p>
      <w:pPr>
        <w:pStyle w:val="Normal"/>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 xml:space="preserve">Bilješke uz bilancu </w:t>
      </w:r>
    </w:p>
    <w:p>
      <w:pPr>
        <w:pStyle w:val="Normal"/>
        <w:jc w:val="center"/>
        <w:rPr>
          <w:b/>
          <w:b/>
        </w:rPr>
      </w:pPr>
      <w:r>
        <w:rPr>
          <w:b/>
        </w:rPr>
        <w:t>Obrazac BIL</w:t>
      </w:r>
    </w:p>
    <w:p>
      <w:pPr>
        <w:pStyle w:val="Normal"/>
        <w:rPr/>
      </w:pPr>
      <w:r>
        <w:rPr/>
      </w:r>
    </w:p>
    <w:p>
      <w:pPr>
        <w:pStyle w:val="Normal"/>
        <w:rPr>
          <w:u w:val="single"/>
        </w:rPr>
      </w:pPr>
      <w:r>
        <w:rPr>
          <w:u w:val="single"/>
        </w:rPr>
      </w:r>
    </w:p>
    <w:p>
      <w:pPr>
        <w:pStyle w:val="Normal"/>
        <w:rPr>
          <w:b/>
          <w:b/>
          <w:i/>
          <w:i/>
        </w:rPr>
      </w:pPr>
      <w:r>
        <w:rPr>
          <w:b/>
          <w:i/>
        </w:rPr>
        <w:t>AOP 081 Ostala potraživanja</w:t>
      </w:r>
    </w:p>
    <w:p>
      <w:pPr>
        <w:pStyle w:val="Normal"/>
        <w:rPr/>
      </w:pPr>
      <w:r>
        <w:rPr/>
        <w:t>Pozicija obuhvaća potraživanje od Općine Svetvinčenat za najam prostora u područnoj školi u Smoljancima u iznosu od 103.584 kn i potraživanja od HZZO-a za naknade za bolovanje koje se refundiraju.</w:t>
      </w:r>
    </w:p>
    <w:p>
      <w:pPr>
        <w:pStyle w:val="Normal"/>
        <w:rPr/>
      </w:pPr>
      <w:r>
        <w:rPr/>
      </w:r>
    </w:p>
    <w:p>
      <w:pPr>
        <w:pStyle w:val="Normal"/>
        <w:rPr>
          <w:b/>
          <w:b/>
          <w:i/>
          <w:i/>
        </w:rPr>
      </w:pPr>
      <w:r>
        <w:rPr>
          <w:b/>
          <w:i/>
        </w:rPr>
        <w:t>AOP 152 Potraživanja za pomoći iz državnog proračuna temeljem prijenosa EU sredstava</w:t>
      </w:r>
    </w:p>
    <w:p>
      <w:pPr>
        <w:pStyle w:val="Normal"/>
        <w:rPr/>
      </w:pPr>
      <w:r>
        <w:rPr/>
        <w:t>Pozicija se odnosi na potraživanje po osnovi projekta Školske sheme – program poticanja uvođenja voća, povrća, mlijeka i mliječnih proizvoda u školsku marendu, kojega financira Ministarstvo poljoprivrede sredstvima iz EU fondova.</w:t>
      </w:r>
    </w:p>
    <w:p>
      <w:pPr>
        <w:pStyle w:val="Normal"/>
        <w:rPr/>
      </w:pPr>
      <w:r>
        <w:rPr/>
      </w:r>
    </w:p>
    <w:p>
      <w:pPr>
        <w:pStyle w:val="Normal"/>
        <w:rPr>
          <w:b/>
          <w:b/>
          <w:i/>
          <w:i/>
        </w:rPr>
      </w:pPr>
      <w:r>
        <w:rPr>
          <w:b/>
          <w:i/>
        </w:rPr>
        <w:t>AOP 154 Potraživanja za naknade po posebnim propisima</w:t>
      </w:r>
    </w:p>
    <w:p>
      <w:pPr>
        <w:pStyle w:val="Normal"/>
        <w:rPr/>
      </w:pPr>
      <w:r>
        <w:rPr/>
        <w:t>Pozicija obuhvaća potraživanja po osnovi pruženih usluga učenicima za školsku marendu i produženi boravak.</w:t>
      </w:r>
    </w:p>
    <w:p>
      <w:pPr>
        <w:pStyle w:val="Normal"/>
        <w:rPr/>
      </w:pPr>
      <w:r>
        <w:rPr/>
      </w:r>
    </w:p>
    <w:p>
      <w:pPr>
        <w:pStyle w:val="Normal"/>
        <w:rPr>
          <w:b/>
          <w:b/>
          <w:i/>
          <w:i/>
        </w:rPr>
      </w:pPr>
      <w:r>
        <w:rPr>
          <w:b/>
          <w:i/>
        </w:rPr>
        <w:t>AOP 155 Potraživanja za prihode od pruženih usluga</w:t>
      </w:r>
    </w:p>
    <w:p>
      <w:pPr>
        <w:pStyle w:val="Normal"/>
        <w:rPr/>
      </w:pPr>
      <w:r>
        <w:rPr/>
        <w:t>Pozicija obuhvaća potraživanja po osnovi najma školskih prostorija i pružanja usluge marende zaposlenicima.</w:t>
      </w:r>
    </w:p>
    <w:p>
      <w:pPr>
        <w:pStyle w:val="Normal"/>
        <w:rPr/>
      </w:pPr>
      <w:r>
        <w:rPr/>
      </w:r>
    </w:p>
    <w:p>
      <w:pPr>
        <w:pStyle w:val="Normal"/>
        <w:rPr>
          <w:b/>
          <w:b/>
          <w:i/>
          <w:i/>
        </w:rPr>
      </w:pPr>
      <w:r>
        <w:rPr>
          <w:b/>
          <w:i/>
        </w:rPr>
        <w:t>AOP 168 Kontinuirani rashodi budućih razdoblja</w:t>
      </w:r>
    </w:p>
    <w:p>
      <w:pPr>
        <w:pStyle w:val="Normal"/>
        <w:rPr/>
      </w:pPr>
      <w:r>
        <w:rPr/>
        <w:t>Pozicija se odnosi na rashode plaća zaposlenih i naknade za nezapošljavanje osoba s invaliditetom, za mjesec prosinac, koji će biti isplaćeni u siječnju 2022. godine.</w:t>
      </w:r>
    </w:p>
    <w:p>
      <w:pPr>
        <w:pStyle w:val="Normal"/>
        <w:rPr/>
      </w:pPr>
      <w:r>
        <w:rPr/>
      </w:r>
    </w:p>
    <w:p>
      <w:pPr>
        <w:pStyle w:val="Normal"/>
        <w:jc w:val="both"/>
        <w:rPr>
          <w:b/>
          <w:b/>
          <w:i/>
          <w:i/>
        </w:rPr>
      </w:pPr>
      <w:r>
        <w:rPr>
          <w:b/>
          <w:i/>
        </w:rPr>
        <w:t>AOP 172 Obveze za zaposlene</w:t>
      </w:r>
    </w:p>
    <w:p>
      <w:pPr>
        <w:pStyle w:val="Normal"/>
        <w:jc w:val="both"/>
        <w:rPr/>
      </w:pPr>
      <w:r>
        <w:rPr/>
        <w:t>Pozicija obuhvaća obvezu plaće za zaposlene za prosinac 2021. koja će biti isplaćena u siječnju 2022. godine.</w:t>
      </w:r>
    </w:p>
    <w:p>
      <w:pPr>
        <w:pStyle w:val="Normal"/>
        <w:jc w:val="both"/>
        <w:rPr/>
      </w:pPr>
      <w:r>
        <w:rPr/>
      </w:r>
    </w:p>
    <w:p>
      <w:pPr>
        <w:pStyle w:val="Normal"/>
        <w:jc w:val="both"/>
        <w:rPr>
          <w:b/>
          <w:b/>
          <w:i/>
          <w:i/>
        </w:rPr>
      </w:pPr>
      <w:r>
        <w:rPr>
          <w:b/>
          <w:i/>
        </w:rPr>
        <w:t>AOP 173 Obveze za materijalne rashode</w:t>
      </w:r>
    </w:p>
    <w:p>
      <w:pPr>
        <w:pStyle w:val="Normal"/>
        <w:jc w:val="both"/>
        <w:rPr/>
      </w:pPr>
      <w:r>
        <w:rPr/>
        <w:t>Obveze prema računima dobavljača s rokom dospijeća plaćanja nakon 31.12.2021. godine.</w:t>
      </w:r>
    </w:p>
    <w:p>
      <w:pPr>
        <w:pStyle w:val="Normal"/>
        <w:rPr/>
      </w:pPr>
      <w:r>
        <w:rPr/>
      </w:r>
    </w:p>
    <w:p>
      <w:pPr>
        <w:pStyle w:val="Normal"/>
        <w:rPr>
          <w:b/>
          <w:b/>
          <w:i/>
          <w:i/>
        </w:rPr>
      </w:pPr>
      <w:r>
        <w:rPr>
          <w:b/>
          <w:i/>
        </w:rPr>
        <w:t>AOP 182 Ostale tekuće obveze</w:t>
      </w:r>
    </w:p>
    <w:p>
      <w:pPr>
        <w:pStyle w:val="Normal"/>
        <w:rPr/>
      </w:pPr>
      <w:r>
        <w:rPr/>
        <w:t xml:space="preserve">Pozicija obuhvaća obvezu prema Općini Svetvinčenat za ulaganje u zgradu područne škole u Smoljancima u iznosu od 103.584 kn i obvezu za povrat sredstava u državni proračun po osnovi refundacija bolovanja od HZZO-a. </w:t>
      </w:r>
    </w:p>
    <w:p>
      <w:pPr>
        <w:pStyle w:val="Normal"/>
        <w:rPr>
          <w:u w:val="single"/>
        </w:rPr>
      </w:pPr>
      <w:r>
        <w:rPr>
          <w:u w:val="single"/>
        </w:rPr>
      </w:r>
    </w:p>
    <w:p>
      <w:pPr>
        <w:pStyle w:val="Normal"/>
        <w:rPr>
          <w:b/>
          <w:b/>
          <w:i/>
          <w:i/>
        </w:rPr>
      </w:pPr>
      <w:r>
        <w:rPr>
          <w:b/>
          <w:i/>
        </w:rPr>
        <w:t>AOP 239-242 Višak/manjak prihoda</w:t>
      </w:r>
    </w:p>
    <w:p>
      <w:pPr>
        <w:pStyle w:val="Normal"/>
        <w:rPr/>
      </w:pPr>
      <w:r>
        <w:rPr/>
        <w:t>U bilanci je izvršena obvezna korekcija rezultata u ukupnom iznosu od 346.271 kn, po osnovi primljenih kapitalnih pomoći i donacija te prihoda iz nadležnog proračuna za financiranje rashoda za nabavu nefinancijske imovine. Slijedom navedenog, postoji odstupanje iskazanih pozicija u obrascima PR-RAS i Bilanca, kako slijedi:</w:t>
      </w:r>
    </w:p>
    <w:p>
      <w:pPr>
        <w:pStyle w:val="Normal"/>
        <w:rPr/>
      </w:pPr>
      <w:r>
        <w:rPr/>
      </w:r>
    </w:p>
    <w:tbl>
      <w:tblPr>
        <w:tblStyle w:val="Reetkatablice"/>
        <w:tblW w:w="9062" w:type="dxa"/>
        <w:jc w:val="left"/>
        <w:tblInd w:w="0" w:type="dxa"/>
        <w:tblCellMar>
          <w:top w:w="0" w:type="dxa"/>
          <w:left w:w="108" w:type="dxa"/>
          <w:bottom w:w="0" w:type="dxa"/>
          <w:right w:w="108" w:type="dxa"/>
        </w:tblCellMar>
        <w:tblLook w:firstRow="1" w:noVBand="1" w:lastRow="0" w:firstColumn="1" w:lastColumn="0" w:noHBand="0" w:val="04a0"/>
      </w:tblPr>
      <w:tblGrid>
        <w:gridCol w:w="845"/>
        <w:gridCol w:w="2410"/>
        <w:gridCol w:w="1558"/>
        <w:gridCol w:w="2433"/>
        <w:gridCol w:w="1816"/>
      </w:tblGrid>
      <w:tr>
        <w:trPr/>
        <w:tc>
          <w:tcPr>
            <w:tcW w:w="845" w:type="dxa"/>
            <w:tcBorders/>
            <w:shd w:fill="auto" w:val="clear"/>
          </w:tcPr>
          <w:p>
            <w:pPr>
              <w:pStyle w:val="Normal"/>
              <w:rPr>
                <w:sz w:val="22"/>
                <w:szCs w:val="22"/>
              </w:rPr>
            </w:pPr>
            <w:r>
              <w:rPr>
                <w:sz w:val="22"/>
                <w:szCs w:val="22"/>
              </w:rPr>
            </w:r>
          </w:p>
        </w:tc>
        <w:tc>
          <w:tcPr>
            <w:tcW w:w="2410" w:type="dxa"/>
            <w:tcBorders/>
            <w:shd w:fill="auto" w:val="clear"/>
          </w:tcPr>
          <w:p>
            <w:pPr>
              <w:pStyle w:val="Normal"/>
              <w:rPr>
                <w:sz w:val="22"/>
                <w:szCs w:val="22"/>
              </w:rPr>
            </w:pPr>
            <w:r>
              <w:rPr>
                <w:sz w:val="22"/>
                <w:szCs w:val="22"/>
              </w:rPr>
              <w:t>Pozicije na dan 31.12.2021.</w:t>
            </w:r>
          </w:p>
        </w:tc>
        <w:tc>
          <w:tcPr>
            <w:tcW w:w="1558" w:type="dxa"/>
            <w:tcBorders/>
            <w:shd w:fill="auto" w:val="clear"/>
          </w:tcPr>
          <w:p>
            <w:pPr>
              <w:pStyle w:val="Normal"/>
              <w:jc w:val="center"/>
              <w:rPr>
                <w:sz w:val="22"/>
                <w:szCs w:val="22"/>
              </w:rPr>
            </w:pPr>
            <w:r>
              <w:rPr>
                <w:sz w:val="22"/>
                <w:szCs w:val="22"/>
              </w:rPr>
              <w:t>PR-RAS</w:t>
            </w:r>
          </w:p>
        </w:tc>
        <w:tc>
          <w:tcPr>
            <w:tcW w:w="2433" w:type="dxa"/>
            <w:tcBorders/>
            <w:shd w:fill="auto" w:val="clear"/>
          </w:tcPr>
          <w:p>
            <w:pPr>
              <w:pStyle w:val="Normal"/>
              <w:jc w:val="center"/>
              <w:rPr>
                <w:b/>
                <w:b/>
                <w:sz w:val="22"/>
                <w:szCs w:val="22"/>
              </w:rPr>
            </w:pPr>
            <w:r>
              <w:rPr>
                <w:b/>
                <w:sz w:val="22"/>
                <w:szCs w:val="22"/>
              </w:rPr>
              <w:t>Kapitalni prijenosi (korekcija rezultata)</w:t>
            </w:r>
          </w:p>
        </w:tc>
        <w:tc>
          <w:tcPr>
            <w:tcW w:w="1816" w:type="dxa"/>
            <w:tcBorders/>
            <w:shd w:fill="auto" w:val="clear"/>
          </w:tcPr>
          <w:p>
            <w:pPr>
              <w:pStyle w:val="Normal"/>
              <w:jc w:val="center"/>
              <w:rPr>
                <w:sz w:val="22"/>
                <w:szCs w:val="22"/>
              </w:rPr>
            </w:pPr>
            <w:r>
              <w:rPr>
                <w:sz w:val="22"/>
                <w:szCs w:val="22"/>
              </w:rPr>
              <w:t>BILANCA</w:t>
            </w:r>
          </w:p>
        </w:tc>
      </w:tr>
      <w:tr>
        <w:trPr/>
        <w:tc>
          <w:tcPr>
            <w:tcW w:w="845" w:type="dxa"/>
            <w:tcBorders/>
            <w:shd w:fill="auto" w:val="clear"/>
          </w:tcPr>
          <w:p>
            <w:pPr>
              <w:pStyle w:val="Normal"/>
              <w:rPr>
                <w:sz w:val="22"/>
                <w:szCs w:val="22"/>
              </w:rPr>
            </w:pPr>
            <w:r>
              <w:rPr>
                <w:sz w:val="22"/>
                <w:szCs w:val="22"/>
              </w:rPr>
              <w:t>92211</w:t>
            </w:r>
          </w:p>
        </w:tc>
        <w:tc>
          <w:tcPr>
            <w:tcW w:w="2410" w:type="dxa"/>
            <w:tcBorders/>
            <w:shd w:fill="auto" w:val="clear"/>
          </w:tcPr>
          <w:p>
            <w:pPr>
              <w:pStyle w:val="Normal"/>
              <w:rPr>
                <w:sz w:val="22"/>
                <w:szCs w:val="22"/>
              </w:rPr>
            </w:pPr>
            <w:r>
              <w:rPr>
                <w:sz w:val="22"/>
                <w:szCs w:val="22"/>
              </w:rPr>
              <w:t>Višak prihoda poslovanja</w:t>
            </w:r>
          </w:p>
        </w:tc>
        <w:tc>
          <w:tcPr>
            <w:tcW w:w="1558" w:type="dxa"/>
            <w:tcBorders/>
            <w:shd w:fill="auto" w:val="clear"/>
          </w:tcPr>
          <w:p>
            <w:pPr>
              <w:pStyle w:val="Normal"/>
              <w:jc w:val="center"/>
              <w:rPr>
                <w:sz w:val="22"/>
                <w:szCs w:val="22"/>
              </w:rPr>
            </w:pPr>
            <w:r>
              <w:rPr>
                <w:sz w:val="22"/>
                <w:szCs w:val="22"/>
              </w:rPr>
              <w:t>368.827</w:t>
            </w:r>
          </w:p>
        </w:tc>
        <w:tc>
          <w:tcPr>
            <w:tcW w:w="2433" w:type="dxa"/>
            <w:tcBorders/>
            <w:shd w:fill="auto" w:val="clear"/>
          </w:tcPr>
          <w:p>
            <w:pPr>
              <w:pStyle w:val="Normal"/>
              <w:jc w:val="center"/>
              <w:rPr>
                <w:sz w:val="22"/>
                <w:szCs w:val="22"/>
              </w:rPr>
            </w:pPr>
            <w:r>
              <w:rPr>
                <w:sz w:val="22"/>
                <w:szCs w:val="22"/>
              </w:rPr>
              <w:t>-332.206</w:t>
            </w:r>
          </w:p>
        </w:tc>
        <w:tc>
          <w:tcPr>
            <w:tcW w:w="1816" w:type="dxa"/>
            <w:tcBorders/>
            <w:shd w:fill="auto" w:val="clear"/>
          </w:tcPr>
          <w:p>
            <w:pPr>
              <w:pStyle w:val="Normal"/>
              <w:jc w:val="center"/>
              <w:rPr>
                <w:sz w:val="22"/>
                <w:szCs w:val="22"/>
              </w:rPr>
            </w:pPr>
            <w:r>
              <w:rPr>
                <w:sz w:val="22"/>
                <w:szCs w:val="22"/>
              </w:rPr>
              <w:t>36.621</w:t>
            </w:r>
          </w:p>
        </w:tc>
      </w:tr>
      <w:tr>
        <w:trPr/>
        <w:tc>
          <w:tcPr>
            <w:tcW w:w="845" w:type="dxa"/>
            <w:tcBorders/>
            <w:shd w:fill="auto" w:val="clear"/>
          </w:tcPr>
          <w:p>
            <w:pPr>
              <w:pStyle w:val="Normal"/>
              <w:rPr>
                <w:sz w:val="22"/>
                <w:szCs w:val="22"/>
              </w:rPr>
            </w:pPr>
            <w:r>
              <w:rPr>
                <w:sz w:val="22"/>
                <w:szCs w:val="22"/>
              </w:rPr>
              <w:t>92211</w:t>
            </w:r>
          </w:p>
        </w:tc>
        <w:tc>
          <w:tcPr>
            <w:tcW w:w="2410" w:type="dxa"/>
            <w:tcBorders/>
            <w:shd w:fill="auto" w:val="clear"/>
          </w:tcPr>
          <w:p>
            <w:pPr>
              <w:pStyle w:val="Normal"/>
              <w:rPr>
                <w:sz w:val="22"/>
                <w:szCs w:val="22"/>
              </w:rPr>
            </w:pPr>
            <w:r>
              <w:rPr>
                <w:sz w:val="22"/>
                <w:szCs w:val="22"/>
              </w:rPr>
              <w:t>Višak prihoda poslovanja - preneseni</w:t>
            </w:r>
          </w:p>
        </w:tc>
        <w:tc>
          <w:tcPr>
            <w:tcW w:w="1558" w:type="dxa"/>
            <w:tcBorders/>
            <w:shd w:fill="auto" w:val="clear"/>
          </w:tcPr>
          <w:p>
            <w:pPr>
              <w:pStyle w:val="Normal"/>
              <w:jc w:val="center"/>
              <w:rPr>
                <w:sz w:val="22"/>
                <w:szCs w:val="22"/>
              </w:rPr>
            </w:pPr>
            <w:r>
              <w:rPr>
                <w:sz w:val="22"/>
                <w:szCs w:val="22"/>
              </w:rPr>
              <w:t>14.065</w:t>
            </w:r>
          </w:p>
        </w:tc>
        <w:tc>
          <w:tcPr>
            <w:tcW w:w="2433" w:type="dxa"/>
            <w:tcBorders/>
            <w:shd w:fill="auto" w:val="clear"/>
          </w:tcPr>
          <w:p>
            <w:pPr>
              <w:pStyle w:val="Normal"/>
              <w:jc w:val="center"/>
              <w:rPr>
                <w:sz w:val="22"/>
                <w:szCs w:val="22"/>
              </w:rPr>
            </w:pPr>
            <w:r>
              <w:rPr>
                <w:sz w:val="22"/>
                <w:szCs w:val="22"/>
              </w:rPr>
              <w:t>-14.065</w:t>
            </w:r>
          </w:p>
        </w:tc>
        <w:tc>
          <w:tcPr>
            <w:tcW w:w="1816" w:type="dxa"/>
            <w:tcBorders/>
            <w:shd w:fill="auto" w:val="clear"/>
          </w:tcPr>
          <w:p>
            <w:pPr>
              <w:pStyle w:val="Normal"/>
              <w:jc w:val="center"/>
              <w:rPr>
                <w:sz w:val="22"/>
                <w:szCs w:val="22"/>
              </w:rPr>
            </w:pPr>
            <w:r>
              <w:rPr>
                <w:sz w:val="22"/>
                <w:szCs w:val="22"/>
              </w:rPr>
              <w:t>0</w:t>
            </w:r>
          </w:p>
        </w:tc>
      </w:tr>
      <w:tr>
        <w:trPr/>
        <w:tc>
          <w:tcPr>
            <w:tcW w:w="845" w:type="dxa"/>
            <w:tcBorders/>
            <w:shd w:fill="auto" w:val="clear"/>
          </w:tcPr>
          <w:p>
            <w:pPr>
              <w:pStyle w:val="Normal"/>
              <w:rPr>
                <w:sz w:val="22"/>
                <w:szCs w:val="22"/>
              </w:rPr>
            </w:pPr>
            <w:r>
              <w:rPr>
                <w:sz w:val="22"/>
                <w:szCs w:val="22"/>
              </w:rPr>
              <w:t>92212</w:t>
            </w:r>
          </w:p>
        </w:tc>
        <w:tc>
          <w:tcPr>
            <w:tcW w:w="2410" w:type="dxa"/>
            <w:tcBorders/>
            <w:shd w:fill="auto" w:val="clear"/>
          </w:tcPr>
          <w:p>
            <w:pPr>
              <w:pStyle w:val="Normal"/>
              <w:rPr>
                <w:sz w:val="22"/>
                <w:szCs w:val="22"/>
              </w:rPr>
            </w:pPr>
            <w:r>
              <w:rPr>
                <w:sz w:val="22"/>
                <w:szCs w:val="22"/>
              </w:rPr>
              <w:t>Višak prihoda od nefinancijske imovine</w:t>
            </w:r>
          </w:p>
        </w:tc>
        <w:tc>
          <w:tcPr>
            <w:tcW w:w="1558" w:type="dxa"/>
            <w:tcBorders/>
            <w:shd w:fill="auto" w:val="clear"/>
          </w:tcPr>
          <w:p>
            <w:pPr>
              <w:pStyle w:val="Normal"/>
              <w:jc w:val="center"/>
              <w:rPr>
                <w:sz w:val="22"/>
                <w:szCs w:val="22"/>
              </w:rPr>
            </w:pPr>
            <w:r>
              <w:rPr>
                <w:sz w:val="22"/>
                <w:szCs w:val="22"/>
              </w:rPr>
              <w:t>0</w:t>
            </w:r>
          </w:p>
        </w:tc>
        <w:tc>
          <w:tcPr>
            <w:tcW w:w="2433" w:type="dxa"/>
            <w:tcBorders/>
            <w:shd w:fill="auto" w:val="clear"/>
          </w:tcPr>
          <w:p>
            <w:pPr>
              <w:pStyle w:val="Normal"/>
              <w:jc w:val="center"/>
              <w:rPr>
                <w:sz w:val="22"/>
                <w:szCs w:val="22"/>
              </w:rPr>
            </w:pPr>
            <w:r>
              <w:rPr>
                <w:sz w:val="22"/>
                <w:szCs w:val="22"/>
              </w:rPr>
              <w:t>9.542</w:t>
            </w:r>
          </w:p>
        </w:tc>
        <w:tc>
          <w:tcPr>
            <w:tcW w:w="1816" w:type="dxa"/>
            <w:tcBorders/>
            <w:shd w:fill="auto" w:val="clear"/>
          </w:tcPr>
          <w:p>
            <w:pPr>
              <w:pStyle w:val="Normal"/>
              <w:jc w:val="center"/>
              <w:rPr>
                <w:sz w:val="22"/>
                <w:szCs w:val="22"/>
              </w:rPr>
            </w:pPr>
            <w:r>
              <w:rPr>
                <w:sz w:val="22"/>
                <w:szCs w:val="22"/>
              </w:rPr>
              <w:t>9.542</w:t>
            </w:r>
          </w:p>
        </w:tc>
      </w:tr>
      <w:tr>
        <w:trPr/>
        <w:tc>
          <w:tcPr>
            <w:tcW w:w="845" w:type="dxa"/>
            <w:tcBorders/>
            <w:shd w:fill="auto" w:val="clear"/>
          </w:tcPr>
          <w:p>
            <w:pPr>
              <w:pStyle w:val="Normal"/>
              <w:rPr>
                <w:sz w:val="22"/>
                <w:szCs w:val="22"/>
              </w:rPr>
            </w:pPr>
            <w:r>
              <w:rPr>
                <w:sz w:val="22"/>
                <w:szCs w:val="22"/>
              </w:rPr>
              <w:t>92212</w:t>
            </w:r>
          </w:p>
        </w:tc>
        <w:tc>
          <w:tcPr>
            <w:tcW w:w="2410" w:type="dxa"/>
            <w:tcBorders/>
            <w:shd w:fill="auto" w:val="clear"/>
          </w:tcPr>
          <w:p>
            <w:pPr>
              <w:pStyle w:val="Normal"/>
              <w:rPr>
                <w:sz w:val="22"/>
                <w:szCs w:val="22"/>
              </w:rPr>
            </w:pPr>
            <w:r>
              <w:rPr>
                <w:sz w:val="22"/>
                <w:szCs w:val="22"/>
              </w:rPr>
              <w:t>Višak prihoda od nefinancijske imovine - preneseni</w:t>
            </w:r>
          </w:p>
        </w:tc>
        <w:tc>
          <w:tcPr>
            <w:tcW w:w="1558" w:type="dxa"/>
            <w:tcBorders/>
            <w:shd w:fill="auto" w:val="clear"/>
          </w:tcPr>
          <w:p>
            <w:pPr>
              <w:pStyle w:val="Normal"/>
              <w:jc w:val="center"/>
              <w:rPr>
                <w:sz w:val="22"/>
                <w:szCs w:val="22"/>
              </w:rPr>
            </w:pPr>
            <w:r>
              <w:rPr>
                <w:sz w:val="22"/>
                <w:szCs w:val="22"/>
              </w:rPr>
              <w:t>13.930</w:t>
            </w:r>
          </w:p>
        </w:tc>
        <w:tc>
          <w:tcPr>
            <w:tcW w:w="2433" w:type="dxa"/>
            <w:tcBorders/>
            <w:shd w:fill="auto" w:val="clear"/>
          </w:tcPr>
          <w:p>
            <w:pPr>
              <w:pStyle w:val="Normal"/>
              <w:jc w:val="center"/>
              <w:rPr>
                <w:sz w:val="22"/>
                <w:szCs w:val="22"/>
              </w:rPr>
            </w:pPr>
            <w:r>
              <w:rPr>
                <w:sz w:val="22"/>
                <w:szCs w:val="22"/>
              </w:rPr>
              <w:t>-13.930</w:t>
            </w:r>
          </w:p>
        </w:tc>
        <w:tc>
          <w:tcPr>
            <w:tcW w:w="1816" w:type="dxa"/>
            <w:tcBorders/>
            <w:shd w:fill="auto" w:val="clear"/>
          </w:tcPr>
          <w:p>
            <w:pPr>
              <w:pStyle w:val="Normal"/>
              <w:jc w:val="center"/>
              <w:rPr>
                <w:sz w:val="22"/>
                <w:szCs w:val="22"/>
              </w:rPr>
            </w:pPr>
            <w:r>
              <w:rPr>
                <w:sz w:val="22"/>
                <w:szCs w:val="22"/>
              </w:rPr>
              <w:t>0</w:t>
            </w:r>
          </w:p>
        </w:tc>
      </w:tr>
      <w:tr>
        <w:trPr/>
        <w:tc>
          <w:tcPr>
            <w:tcW w:w="845" w:type="dxa"/>
            <w:tcBorders/>
            <w:shd w:fill="auto" w:val="clear"/>
          </w:tcPr>
          <w:p>
            <w:pPr>
              <w:pStyle w:val="Normal"/>
              <w:rPr>
                <w:sz w:val="22"/>
                <w:szCs w:val="22"/>
              </w:rPr>
            </w:pPr>
            <w:r>
              <w:rPr>
                <w:sz w:val="22"/>
                <w:szCs w:val="22"/>
              </w:rPr>
              <w:t>92222</w:t>
            </w:r>
          </w:p>
        </w:tc>
        <w:tc>
          <w:tcPr>
            <w:tcW w:w="2410" w:type="dxa"/>
            <w:tcBorders/>
            <w:shd w:fill="auto" w:val="clear"/>
          </w:tcPr>
          <w:p>
            <w:pPr>
              <w:pStyle w:val="Normal"/>
              <w:rPr>
                <w:sz w:val="22"/>
                <w:szCs w:val="22"/>
              </w:rPr>
            </w:pPr>
            <w:r>
              <w:rPr>
                <w:sz w:val="22"/>
                <w:szCs w:val="22"/>
              </w:rPr>
              <w:t>Manjak prihoda od nefinancijske imovine</w:t>
            </w:r>
          </w:p>
        </w:tc>
        <w:tc>
          <w:tcPr>
            <w:tcW w:w="1558" w:type="dxa"/>
            <w:tcBorders/>
            <w:shd w:fill="auto" w:val="clear"/>
          </w:tcPr>
          <w:p>
            <w:pPr>
              <w:pStyle w:val="Normal"/>
              <w:jc w:val="center"/>
              <w:rPr>
                <w:sz w:val="22"/>
                <w:szCs w:val="22"/>
              </w:rPr>
            </w:pPr>
            <w:r>
              <w:rPr>
                <w:sz w:val="22"/>
                <w:szCs w:val="22"/>
              </w:rPr>
              <w:t>-350.659</w:t>
            </w:r>
          </w:p>
        </w:tc>
        <w:tc>
          <w:tcPr>
            <w:tcW w:w="2433" w:type="dxa"/>
            <w:tcBorders/>
            <w:shd w:fill="auto" w:val="clear"/>
          </w:tcPr>
          <w:p>
            <w:pPr>
              <w:pStyle w:val="Normal"/>
              <w:jc w:val="center"/>
              <w:rPr>
                <w:sz w:val="22"/>
                <w:szCs w:val="22"/>
              </w:rPr>
            </w:pPr>
            <w:r>
              <w:rPr>
                <w:sz w:val="22"/>
                <w:szCs w:val="22"/>
              </w:rPr>
              <w:t>350.659</w:t>
            </w:r>
          </w:p>
        </w:tc>
        <w:tc>
          <w:tcPr>
            <w:tcW w:w="1816" w:type="dxa"/>
            <w:tcBorders/>
            <w:shd w:fill="auto" w:val="clear"/>
          </w:tcPr>
          <w:p>
            <w:pPr>
              <w:pStyle w:val="Normal"/>
              <w:jc w:val="center"/>
              <w:rPr>
                <w:sz w:val="22"/>
                <w:szCs w:val="22"/>
              </w:rPr>
            </w:pPr>
            <w:r>
              <w:rPr>
                <w:sz w:val="22"/>
                <w:szCs w:val="22"/>
              </w:rPr>
              <w:t>0</w:t>
            </w:r>
          </w:p>
        </w:tc>
      </w:tr>
      <w:tr>
        <w:trPr/>
        <w:tc>
          <w:tcPr>
            <w:tcW w:w="845" w:type="dxa"/>
            <w:tcBorders/>
            <w:shd w:fill="auto" w:val="clear"/>
          </w:tcPr>
          <w:p>
            <w:pPr>
              <w:pStyle w:val="Normal"/>
              <w:rPr>
                <w:sz w:val="22"/>
                <w:szCs w:val="22"/>
              </w:rPr>
            </w:pPr>
            <w:r>
              <w:rPr>
                <w:sz w:val="22"/>
                <w:szCs w:val="22"/>
              </w:rPr>
              <w:t>92</w:t>
            </w:r>
          </w:p>
        </w:tc>
        <w:tc>
          <w:tcPr>
            <w:tcW w:w="2410" w:type="dxa"/>
            <w:tcBorders/>
            <w:shd w:fill="auto" w:val="clear"/>
          </w:tcPr>
          <w:p>
            <w:pPr>
              <w:pStyle w:val="Normal"/>
              <w:rPr>
                <w:sz w:val="22"/>
                <w:szCs w:val="22"/>
              </w:rPr>
            </w:pPr>
            <w:r>
              <w:rPr>
                <w:sz w:val="22"/>
                <w:szCs w:val="22"/>
              </w:rPr>
              <w:t>REZULTAT POSLOVANJA</w:t>
            </w:r>
          </w:p>
        </w:tc>
        <w:tc>
          <w:tcPr>
            <w:tcW w:w="1558" w:type="dxa"/>
            <w:tcBorders/>
            <w:shd w:fill="auto" w:val="clear"/>
          </w:tcPr>
          <w:p>
            <w:pPr>
              <w:pStyle w:val="Normal"/>
              <w:jc w:val="center"/>
              <w:rPr>
                <w:b/>
                <w:b/>
                <w:sz w:val="22"/>
                <w:szCs w:val="22"/>
              </w:rPr>
            </w:pPr>
            <w:r>
              <w:rPr>
                <w:b/>
                <w:sz w:val="22"/>
                <w:szCs w:val="22"/>
              </w:rPr>
              <w:t>46.163</w:t>
            </w:r>
          </w:p>
        </w:tc>
        <w:tc>
          <w:tcPr>
            <w:tcW w:w="2433" w:type="dxa"/>
            <w:tcBorders/>
            <w:shd w:fill="auto" w:val="clear"/>
          </w:tcPr>
          <w:p>
            <w:pPr>
              <w:pStyle w:val="Normal"/>
              <w:jc w:val="center"/>
              <w:rPr>
                <w:b/>
                <w:b/>
                <w:sz w:val="22"/>
                <w:szCs w:val="22"/>
              </w:rPr>
            </w:pPr>
            <w:bookmarkStart w:id="0" w:name="_GoBack"/>
            <w:r>
              <w:rPr>
                <w:b/>
                <w:sz w:val="22"/>
                <w:szCs w:val="22"/>
              </w:rPr>
              <w:t>0</w:t>
            </w:r>
            <w:bookmarkEnd w:id="0"/>
          </w:p>
        </w:tc>
        <w:tc>
          <w:tcPr>
            <w:tcW w:w="1816" w:type="dxa"/>
            <w:tcBorders/>
            <w:shd w:fill="auto" w:val="clear"/>
          </w:tcPr>
          <w:p>
            <w:pPr>
              <w:pStyle w:val="Normal"/>
              <w:jc w:val="center"/>
              <w:rPr>
                <w:b/>
                <w:b/>
                <w:sz w:val="22"/>
                <w:szCs w:val="22"/>
              </w:rPr>
            </w:pPr>
            <w:r>
              <w:rPr>
                <w:b/>
                <w:sz w:val="22"/>
                <w:szCs w:val="22"/>
              </w:rPr>
              <w:t>46.163</w:t>
            </w:r>
          </w:p>
        </w:tc>
      </w:tr>
    </w:tbl>
    <w:p>
      <w:pPr>
        <w:pStyle w:val="Normal"/>
        <w:rPr/>
      </w:pPr>
      <w:r>
        <w:rPr/>
      </w:r>
    </w:p>
    <w:p>
      <w:pPr>
        <w:pStyle w:val="Normal"/>
        <w:rPr/>
      </w:pPr>
      <w:r>
        <w:rPr/>
      </w:r>
    </w:p>
    <w:p>
      <w:pPr>
        <w:pStyle w:val="Normal"/>
        <w:rPr>
          <w:b/>
          <w:b/>
          <w:i/>
          <w:i/>
        </w:rPr>
      </w:pPr>
      <w:r>
        <w:rPr>
          <w:b/>
          <w:i/>
        </w:rPr>
        <w:t>AOP 249 Obračunati prihodi poslovanja</w:t>
      </w:r>
    </w:p>
    <w:p>
      <w:pPr>
        <w:pStyle w:val="Normal"/>
        <w:rPr/>
      </w:pPr>
      <w:r>
        <w:rPr/>
        <w:t>Pozicija obuhvaća potraživanja za školsku marendu, produženi boravak i najam školskih prostorija.</w:t>
      </w:r>
    </w:p>
    <w:p>
      <w:pPr>
        <w:pStyle w:val="Normal"/>
        <w:rPr/>
      </w:pPr>
      <w:r>
        <w:rPr/>
      </w:r>
    </w:p>
    <w:p>
      <w:pPr>
        <w:pStyle w:val="Normal"/>
        <w:jc w:val="both"/>
        <w:rPr>
          <w:b/>
          <w:b/>
          <w:i/>
          <w:i/>
        </w:rPr>
      </w:pPr>
      <w:r>
        <w:rPr>
          <w:b/>
          <w:i/>
        </w:rPr>
        <w:t>AOP 261 Potraživanja za naknade koje se refundiraju</w:t>
      </w:r>
    </w:p>
    <w:p>
      <w:pPr>
        <w:pStyle w:val="Normal"/>
        <w:jc w:val="both"/>
        <w:rPr/>
      </w:pPr>
      <w:r>
        <w:rPr/>
        <w:t>Potraživanja za refundacije naknada za vrijeme bolovanja koje se financiraju na teret HZZO-a.</w:t>
      </w:r>
    </w:p>
    <w:p>
      <w:pPr>
        <w:pStyle w:val="Normal"/>
        <w:jc w:val="both"/>
        <w:rPr/>
      </w:pPr>
      <w:r>
        <w:rPr/>
      </w:r>
    </w:p>
    <w:p>
      <w:pPr>
        <w:pStyle w:val="Normal"/>
        <w:jc w:val="both"/>
        <w:rPr/>
      </w:pPr>
      <w:r>
        <w:rPr/>
      </w:r>
    </w:p>
    <w:p>
      <w:pPr>
        <w:pStyle w:val="Normal"/>
        <w:jc w:val="both"/>
        <w:rPr>
          <w:b/>
          <w:b/>
          <w:i/>
          <w:i/>
        </w:rPr>
      </w:pPr>
      <w:r>
        <w:rPr>
          <w:b/>
          <w:i/>
        </w:rPr>
        <w:t>AOP 295 Obveze proračunskih korisnika za povrat u proračun</w:t>
      </w:r>
    </w:p>
    <w:p>
      <w:pPr>
        <w:pStyle w:val="Normal"/>
        <w:jc w:val="both"/>
        <w:rPr/>
      </w:pPr>
      <w:r>
        <w:rPr/>
        <w:t>Obveze za povrat u državni proračun po osnovi refundacija bolovanja od HZZO-a.</w:t>
      </w:r>
    </w:p>
    <w:p>
      <w:pPr>
        <w:pStyle w:val="Normal"/>
        <w:rPr/>
      </w:pPr>
      <w:r>
        <w:rPr/>
      </w:r>
    </w:p>
    <w:p>
      <w:pPr>
        <w:pStyle w:val="Normal"/>
        <w:rPr>
          <w:b/>
          <w:b/>
          <w:i/>
          <w:i/>
        </w:rPr>
      </w:pPr>
      <w:r>
        <w:rPr>
          <w:b/>
          <w:i/>
        </w:rPr>
        <w:t>NAPOMENA:</w:t>
      </w:r>
    </w:p>
    <w:p>
      <w:pPr>
        <w:pStyle w:val="Normal"/>
        <w:rPr/>
      </w:pPr>
      <w:r>
        <w:rPr/>
        <w:t xml:space="preserve">U bilančnoj i izvanbilančnim evidencijama nema evidentiranih zapisa o ugovornim odnosima koji bi mogli postati obveza ili imovina. </w:t>
      </w:r>
    </w:p>
    <w:p>
      <w:pPr>
        <w:pStyle w:val="Normal"/>
        <w:rPr/>
      </w:pPr>
      <w:r>
        <w:rPr/>
        <w:t>U bilančnoj i izvanbilančnim evidencijama postoje evidentirani zapisi o sudskim sporovima u tijeku.</w:t>
      </w:r>
    </w:p>
    <w:p>
      <w:pPr>
        <w:pStyle w:val="Normal"/>
        <w:rPr/>
      </w:pPr>
      <w:r>
        <w:rPr/>
      </w:r>
    </w:p>
    <w:p>
      <w:pPr>
        <w:pStyle w:val="Normal"/>
        <w:rPr>
          <w:b/>
          <w:b/>
        </w:rPr>
      </w:pPr>
      <w:r>
        <w:rPr>
          <w:b/>
        </w:rPr>
      </w:r>
    </w:p>
    <w:p>
      <w:pPr>
        <w:pStyle w:val="Normal"/>
        <w:rPr>
          <w:b/>
          <w:b/>
        </w:rPr>
      </w:pPr>
      <w:r>
        <w:rPr>
          <w:b/>
        </w:rPr>
      </w:r>
    </w:p>
    <w:p>
      <w:pPr>
        <w:pStyle w:val="Normal"/>
        <w:jc w:val="center"/>
        <w:rPr>
          <w:b/>
          <w:b/>
        </w:rPr>
      </w:pPr>
      <w:r>
        <w:rPr>
          <w:b/>
        </w:rPr>
        <w:t>BILJEŠKE</w:t>
      </w:r>
    </w:p>
    <w:p>
      <w:pPr>
        <w:pStyle w:val="Normal"/>
        <w:jc w:val="center"/>
        <w:rPr>
          <w:b/>
          <w:b/>
        </w:rPr>
      </w:pPr>
      <w:r>
        <w:rPr>
          <w:b/>
        </w:rPr>
        <w:t xml:space="preserve">uz izvještaj o rashodima prema funkcijskoj klasifikaciji </w:t>
      </w:r>
    </w:p>
    <w:p>
      <w:pPr>
        <w:pStyle w:val="Normal"/>
        <w:jc w:val="center"/>
        <w:rPr>
          <w:b/>
          <w:b/>
        </w:rPr>
      </w:pPr>
      <w:r>
        <w:rPr>
          <w:b/>
        </w:rPr>
        <w:t>Obrazac RAS-funkcijski</w:t>
      </w:r>
    </w:p>
    <w:p>
      <w:pPr>
        <w:pStyle w:val="Normal"/>
        <w:rPr>
          <w:b/>
          <w:b/>
        </w:rPr>
      </w:pPr>
      <w:r>
        <w:rPr>
          <w:b/>
        </w:rPr>
      </w:r>
    </w:p>
    <w:p>
      <w:pPr>
        <w:pStyle w:val="Normal"/>
        <w:rPr>
          <w:b/>
          <w:b/>
          <w:i/>
          <w:i/>
        </w:rPr>
      </w:pPr>
      <w:r>
        <w:rPr>
          <w:b/>
          <w:i/>
        </w:rPr>
        <w:t>AOP 122 Dodatne usluge u obrazovanju</w:t>
      </w:r>
    </w:p>
    <w:p>
      <w:pPr>
        <w:pStyle w:val="Normal"/>
        <w:rPr/>
      </w:pPr>
      <w:r>
        <w:rPr/>
        <w:t xml:space="preserve">Dio rashoda koji se odnose na dodatne usluge u obrazovanju obuhvaća rashode školske kuhinje (troškove namirnica za marendu učenika) i redovnog prijevoza učenika u školu i iz škole. </w:t>
      </w:r>
    </w:p>
    <w:p>
      <w:pPr>
        <w:pStyle w:val="Normal"/>
        <w:rPr>
          <w:b/>
          <w:b/>
        </w:rPr>
      </w:pPr>
      <w:r>
        <w:rPr>
          <w:b/>
        </w:rPr>
      </w:r>
    </w:p>
    <w:p>
      <w:pPr>
        <w:pStyle w:val="Normal"/>
        <w:rPr>
          <w:b/>
          <w:b/>
        </w:rPr>
      </w:pPr>
      <w:r>
        <w:rPr>
          <w:b/>
        </w:rPr>
      </w:r>
    </w:p>
    <w:p>
      <w:pPr>
        <w:pStyle w:val="Normal"/>
        <w:rPr>
          <w:b/>
          <w:b/>
        </w:rPr>
      </w:pPr>
      <w:r>
        <w:rPr>
          <w:b/>
        </w:rPr>
      </w:r>
    </w:p>
    <w:p>
      <w:pPr>
        <w:pStyle w:val="Normal"/>
        <w:jc w:val="center"/>
        <w:rPr>
          <w:b/>
          <w:b/>
        </w:rPr>
      </w:pPr>
      <w:r>
        <w:rPr>
          <w:b/>
        </w:rPr>
        <w:t>BILJEŠKE</w:t>
      </w:r>
    </w:p>
    <w:p>
      <w:pPr>
        <w:pStyle w:val="Normal"/>
        <w:jc w:val="center"/>
        <w:rPr>
          <w:b/>
          <w:b/>
        </w:rPr>
      </w:pPr>
      <w:r>
        <w:rPr>
          <w:b/>
        </w:rPr>
        <w:t xml:space="preserve">uz izvještaj o promjenama u vrijednosti i obujmu imovine i obveza </w:t>
      </w:r>
    </w:p>
    <w:p>
      <w:pPr>
        <w:pStyle w:val="Normal"/>
        <w:jc w:val="center"/>
        <w:rPr>
          <w:b/>
          <w:b/>
        </w:rPr>
      </w:pPr>
      <w:r>
        <w:rPr>
          <w:b/>
        </w:rPr>
        <w:t>Obrazac P-VRIO</w:t>
      </w:r>
    </w:p>
    <w:p>
      <w:pPr>
        <w:pStyle w:val="Normal"/>
        <w:rPr/>
      </w:pPr>
      <w:r>
        <w:rPr/>
      </w:r>
    </w:p>
    <w:p>
      <w:pPr>
        <w:pStyle w:val="Normal"/>
        <w:numPr>
          <w:ilvl w:val="0"/>
          <w:numId w:val="0"/>
        </w:numPr>
        <w:outlineLvl w:val="0"/>
        <w:rPr/>
      </w:pPr>
      <w:r>
        <w:rPr/>
        <w:t>U izvještajnom razdoblju nema evidentiranih promjena u vrijednosti i obujmu imovine i obveza.</w:t>
      </w:r>
    </w:p>
    <w:p>
      <w:pPr>
        <w:pStyle w:val="Normal"/>
        <w:numPr>
          <w:ilvl w:val="0"/>
          <w:numId w:val="0"/>
        </w:numPr>
        <w:outlineLvl w:val="0"/>
        <w:rPr/>
      </w:pPr>
      <w:r>
        <w:rPr/>
      </w:r>
    </w:p>
    <w:p>
      <w:pPr>
        <w:pStyle w:val="Normal"/>
        <w:numPr>
          <w:ilvl w:val="0"/>
          <w:numId w:val="0"/>
        </w:numPr>
        <w:outlineLvl w:val="0"/>
        <w:rPr/>
      </w:pPr>
      <w:r>
        <w:rPr/>
      </w:r>
    </w:p>
    <w:p>
      <w:pPr>
        <w:pStyle w:val="Normal"/>
        <w:rPr/>
      </w:pPr>
      <w:r>
        <w:rPr/>
      </w:r>
    </w:p>
    <w:p>
      <w:pPr>
        <w:pStyle w:val="Normal"/>
        <w:jc w:val="center"/>
        <w:rPr>
          <w:b/>
          <w:b/>
        </w:rPr>
      </w:pPr>
      <w:r>
        <w:rPr>
          <w:b/>
        </w:rPr>
        <w:t>BILJEŠKE</w:t>
      </w:r>
    </w:p>
    <w:p>
      <w:pPr>
        <w:pStyle w:val="Normal"/>
        <w:jc w:val="center"/>
        <w:rPr>
          <w:b/>
          <w:b/>
        </w:rPr>
      </w:pPr>
      <w:r>
        <w:rPr>
          <w:b/>
        </w:rPr>
        <w:t xml:space="preserve">uz izvještaj o obvezama </w:t>
      </w:r>
    </w:p>
    <w:p>
      <w:pPr>
        <w:pStyle w:val="Normal"/>
        <w:jc w:val="center"/>
        <w:rPr>
          <w:b/>
          <w:b/>
        </w:rPr>
      </w:pPr>
      <w:r>
        <w:rPr>
          <w:b/>
        </w:rPr>
        <w:t>Obrazac Obveze</w:t>
      </w:r>
    </w:p>
    <w:p>
      <w:pPr>
        <w:pStyle w:val="Normal"/>
        <w:rPr/>
      </w:pPr>
      <w:r>
        <w:rPr/>
      </w:r>
    </w:p>
    <w:p>
      <w:pPr>
        <w:pStyle w:val="Normal"/>
        <w:rPr>
          <w:b/>
          <w:b/>
          <w:i/>
          <w:i/>
        </w:rPr>
      </w:pPr>
      <w:r>
        <w:rPr>
          <w:b/>
          <w:i/>
        </w:rPr>
        <w:t>AOP 038 Stanje obveza na kraju izvještajnog razdoblja</w:t>
      </w:r>
    </w:p>
    <w:p>
      <w:pPr>
        <w:pStyle w:val="Normal"/>
        <w:rPr/>
      </w:pPr>
      <w:r>
        <w:rPr/>
        <w:t xml:space="preserve">Pozicija obuhvaća nedospjele obveze za plaću za zaposlene za mjesec prosinac i ostale rashode nastale u 2021. godini, s rokom dospijeća plaćanja u 2022. godini.    </w:t>
      </w:r>
    </w:p>
    <w:p>
      <w:pPr>
        <w:pStyle w:val="Normal"/>
        <w:jc w:val="both"/>
        <w:rPr/>
      </w:pPr>
      <w:r>
        <w:rPr/>
      </w:r>
    </w:p>
    <w:p>
      <w:pPr>
        <w:pStyle w:val="Normal"/>
        <w:jc w:val="both"/>
        <w:rPr/>
      </w:pPr>
      <w:r>
        <w:rPr/>
      </w:r>
    </w:p>
    <w:p>
      <w:pPr>
        <w:pStyle w:val="Normal"/>
        <w:jc w:val="both"/>
        <w:rPr/>
      </w:pPr>
      <w:r>
        <w:rPr/>
      </w:r>
    </w:p>
    <w:p>
      <w:pPr>
        <w:pStyle w:val="Normal"/>
        <w:rPr/>
      </w:pPr>
      <w:r>
        <w:rPr/>
        <w:t xml:space="preserve">Svetvinčenat, 31. siječnja 2022.    </w:t>
      </w:r>
    </w:p>
    <w:p>
      <w:pPr>
        <w:pStyle w:val="Normal"/>
        <w:rPr/>
      </w:pPr>
      <w:r>
        <w:rPr/>
      </w:r>
    </w:p>
    <w:p>
      <w:pPr>
        <w:pStyle w:val="Normal"/>
        <w:rPr/>
      </w:pPr>
      <w:r>
        <w:rPr/>
      </w:r>
    </w:p>
    <w:p>
      <w:pPr>
        <w:pStyle w:val="Normal"/>
        <w:rPr/>
      </w:pPr>
      <w:r>
        <w:rPr/>
      </w:r>
    </w:p>
    <w:p>
      <w:pPr>
        <w:pStyle w:val="Normal"/>
        <w:rPr/>
      </w:pPr>
      <w:r>
        <w:rPr/>
        <w:t>Voditeljica računovodstva:                                               Ravnateljica:</w:t>
      </w:r>
    </w:p>
    <w:p>
      <w:pPr>
        <w:pStyle w:val="Normal"/>
        <w:rPr>
          <w:b/>
          <w:b/>
        </w:rPr>
      </w:pPr>
      <w:r>
        <w:rPr/>
        <w:t>Tamara Ema Privileggio, mag.oec.                                  Silvija Jeromela Obrovac, prof.</w:t>
      </w:r>
    </w:p>
    <w:p>
      <w:pPr>
        <w:pStyle w:val="Normal"/>
        <w:jc w:val="both"/>
        <w:rPr/>
      </w:pPr>
      <w:r>
        <w:rPr/>
      </w:r>
    </w:p>
    <w:p>
      <w:pPr>
        <w:pStyle w:val="Normal"/>
        <w:jc w:val="both"/>
        <w:rPr/>
      </w:pPr>
      <w:r>
        <w:rPr/>
        <w:t xml:space="preserve">                      </w:t>
      </w:r>
    </w:p>
    <w:sectPr>
      <w:type w:val="nextPage"/>
      <w:pgSz w:w="11906" w:h="16838"/>
      <w:pgMar w:left="1417" w:right="1417" w:header="0" w:top="899" w:footer="0" w:bottom="899"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Tahoma">
    <w:charset w:val="ee"/>
    <w:family w:val="roman"/>
    <w:pitch w:val="variable"/>
  </w:font>
</w:fonts>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r-HR" w:eastAsia="hr-H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c1a65"/>
    <w:pPr>
      <w:widowControl/>
      <w:bidi w:val="0"/>
      <w:jc w:val="left"/>
    </w:pPr>
    <w:rPr>
      <w:rFonts w:ascii="Times New Roman" w:hAnsi="Times New Roman" w:eastAsia="Times New Roman" w:cs="Times New Roman"/>
      <w:color w:val="00000A"/>
      <w:kern w:val="0"/>
      <w:sz w:val="24"/>
      <w:szCs w:val="24"/>
      <w:lang w:val="hr-HR" w:eastAsia="hr-HR" w:bidi="ar-SA"/>
    </w:rPr>
  </w:style>
  <w:style w:type="character" w:styleId="DefaultParagraphFont" w:default="1">
    <w:name w:val="Default Paragraph Font"/>
    <w:uiPriority w:val="1"/>
    <w:semiHidden/>
    <w:unhideWhenUsed/>
    <w:qFormat/>
    <w:rPr/>
  </w:style>
  <w:style w:type="character" w:styleId="ListLabel1" w:customStyle="1">
    <w:name w:val="ListLabel 1"/>
    <w:qFormat/>
    <w:rsid w:val="00a529ac"/>
    <w:rPr>
      <w:rFonts w:cs="Courier New"/>
    </w:rPr>
  </w:style>
  <w:style w:type="character" w:styleId="ListLabel2" w:customStyle="1">
    <w:name w:val="ListLabel 2"/>
    <w:qFormat/>
    <w:rsid w:val="00a529ac"/>
    <w:rPr>
      <w:rFonts w:cs="Courier New"/>
    </w:rPr>
  </w:style>
  <w:style w:type="character" w:styleId="ListLabel3" w:customStyle="1">
    <w:name w:val="ListLabel 3"/>
    <w:qFormat/>
    <w:rsid w:val="00a529ac"/>
    <w:rPr>
      <w:rFonts w:cs="Courier New"/>
    </w:rPr>
  </w:style>
  <w:style w:type="character" w:styleId="ListLabel4" w:customStyle="1">
    <w:name w:val="ListLabel 4"/>
    <w:qFormat/>
    <w:rsid w:val="00a529ac"/>
    <w:rPr>
      <w:rFonts w:cs="Courier New"/>
    </w:rPr>
  </w:style>
  <w:style w:type="character" w:styleId="ListLabel5" w:customStyle="1">
    <w:name w:val="ListLabel 5"/>
    <w:qFormat/>
    <w:rsid w:val="00a529ac"/>
    <w:rPr>
      <w:rFonts w:cs="Courier New"/>
    </w:rPr>
  </w:style>
  <w:style w:type="character" w:styleId="ListLabel6" w:customStyle="1">
    <w:name w:val="ListLabel 6"/>
    <w:qFormat/>
    <w:rsid w:val="00a529ac"/>
    <w:rPr>
      <w:rFonts w:cs="Courier New"/>
    </w:rPr>
  </w:style>
  <w:style w:type="character" w:styleId="ListLabel7" w:customStyle="1">
    <w:name w:val="ListLabel 7"/>
    <w:qFormat/>
    <w:rsid w:val="00a529ac"/>
    <w:rPr>
      <w:rFonts w:cs="Courier New"/>
    </w:rPr>
  </w:style>
  <w:style w:type="character" w:styleId="ListLabel8" w:customStyle="1">
    <w:name w:val="ListLabel 8"/>
    <w:qFormat/>
    <w:rsid w:val="00a529ac"/>
    <w:rPr>
      <w:rFonts w:cs="Courier New"/>
    </w:rPr>
  </w:style>
  <w:style w:type="character" w:styleId="ListLabel9" w:customStyle="1">
    <w:name w:val="ListLabel 9"/>
    <w:qFormat/>
    <w:rsid w:val="00a529ac"/>
    <w:rPr>
      <w:rFonts w:cs="Courier New"/>
    </w:rPr>
  </w:style>
  <w:style w:type="character" w:styleId="ListLabel10" w:customStyle="1">
    <w:name w:val="ListLabel 10"/>
    <w:qFormat/>
    <w:rsid w:val="00a529ac"/>
    <w:rPr>
      <w:rFonts w:cs="Courier New"/>
    </w:rPr>
  </w:style>
  <w:style w:type="character" w:styleId="ListLabel11" w:customStyle="1">
    <w:name w:val="ListLabel 11"/>
    <w:qFormat/>
    <w:rsid w:val="00a529ac"/>
    <w:rPr>
      <w:rFonts w:cs="Courier New"/>
    </w:rPr>
  </w:style>
  <w:style w:type="character" w:styleId="ListLabel12" w:customStyle="1">
    <w:name w:val="ListLabel 12"/>
    <w:qFormat/>
    <w:rsid w:val="00a529ac"/>
    <w:rPr>
      <w:rFonts w:cs="Courier New"/>
    </w:rPr>
  </w:style>
  <w:style w:type="character" w:styleId="ListLabel13" w:customStyle="1">
    <w:name w:val="ListLabel 13"/>
    <w:qFormat/>
    <w:rsid w:val="00a529ac"/>
    <w:rPr>
      <w:rFonts w:eastAsia="Times New Roman" w:cs="Times New Roman"/>
    </w:rPr>
  </w:style>
  <w:style w:type="character" w:styleId="ListLabel14" w:customStyle="1">
    <w:name w:val="ListLabel 14"/>
    <w:qFormat/>
    <w:rsid w:val="00a529ac"/>
    <w:rPr>
      <w:rFonts w:cs="Courier New"/>
    </w:rPr>
  </w:style>
  <w:style w:type="character" w:styleId="ListLabel15" w:customStyle="1">
    <w:name w:val="ListLabel 15"/>
    <w:qFormat/>
    <w:rsid w:val="00a529ac"/>
    <w:rPr>
      <w:rFonts w:cs="Courier New"/>
    </w:rPr>
  </w:style>
  <w:style w:type="character" w:styleId="ListLabel16" w:customStyle="1">
    <w:name w:val="ListLabel 16"/>
    <w:qFormat/>
    <w:rsid w:val="00a529ac"/>
    <w:rPr>
      <w:rFonts w:cs="Courier New"/>
    </w:rPr>
  </w:style>
  <w:style w:type="character" w:styleId="ListLabel17" w:customStyle="1">
    <w:name w:val="ListLabel 17"/>
    <w:qFormat/>
    <w:rsid w:val="00a529ac"/>
    <w:rPr>
      <w:rFonts w:eastAsia="Times New Roman" w:cs="Times New Roman"/>
    </w:rPr>
  </w:style>
  <w:style w:type="character" w:styleId="ListLabel18" w:customStyle="1">
    <w:name w:val="ListLabel 18"/>
    <w:qFormat/>
    <w:rsid w:val="00a529ac"/>
    <w:rPr>
      <w:rFonts w:cs="Courier New"/>
    </w:rPr>
  </w:style>
  <w:style w:type="character" w:styleId="ListLabel19" w:customStyle="1">
    <w:name w:val="ListLabel 19"/>
    <w:qFormat/>
    <w:rsid w:val="00a529ac"/>
    <w:rPr>
      <w:rFonts w:cs="Courier New"/>
    </w:rPr>
  </w:style>
  <w:style w:type="character" w:styleId="ListLabel20" w:customStyle="1">
    <w:name w:val="ListLabel 20"/>
    <w:qFormat/>
    <w:rsid w:val="00a529ac"/>
    <w:rPr>
      <w:rFonts w:cs="Courier New"/>
    </w:rPr>
  </w:style>
  <w:style w:type="character" w:styleId="ListLabel21" w:customStyle="1">
    <w:name w:val="ListLabel 21"/>
    <w:qFormat/>
    <w:rsid w:val="00a529ac"/>
    <w:rPr>
      <w:rFonts w:eastAsia="Times New Roman" w:cs="Times New Roman"/>
    </w:rPr>
  </w:style>
  <w:style w:type="character" w:styleId="ListLabel22" w:customStyle="1">
    <w:name w:val="ListLabel 22"/>
    <w:qFormat/>
    <w:rsid w:val="00a529ac"/>
    <w:rPr>
      <w:rFonts w:cs="Courier New"/>
    </w:rPr>
  </w:style>
  <w:style w:type="character" w:styleId="ListLabel23" w:customStyle="1">
    <w:name w:val="ListLabel 23"/>
    <w:qFormat/>
    <w:rsid w:val="00a529ac"/>
    <w:rPr>
      <w:rFonts w:cs="Courier New"/>
    </w:rPr>
  </w:style>
  <w:style w:type="character" w:styleId="ListLabel24" w:customStyle="1">
    <w:name w:val="ListLabel 24"/>
    <w:qFormat/>
    <w:rsid w:val="00a529ac"/>
    <w:rPr>
      <w:rFonts w:cs="Courier New"/>
    </w:rPr>
  </w:style>
  <w:style w:type="character" w:styleId="ListLabel25" w:customStyle="1">
    <w:name w:val="ListLabel 25"/>
    <w:qFormat/>
    <w:rsid w:val="00a529ac"/>
    <w:rPr>
      <w:rFonts w:eastAsia="Times New Roman" w:cs="Times New Roman"/>
    </w:rPr>
  </w:style>
  <w:style w:type="character" w:styleId="ListLabel26" w:customStyle="1">
    <w:name w:val="ListLabel 26"/>
    <w:qFormat/>
    <w:rsid w:val="00a529ac"/>
    <w:rPr>
      <w:rFonts w:cs="Courier New"/>
    </w:rPr>
  </w:style>
  <w:style w:type="character" w:styleId="ListLabel27" w:customStyle="1">
    <w:name w:val="ListLabel 27"/>
    <w:qFormat/>
    <w:rsid w:val="00a529ac"/>
    <w:rPr>
      <w:rFonts w:cs="Courier New"/>
    </w:rPr>
  </w:style>
  <w:style w:type="character" w:styleId="ListLabel28" w:customStyle="1">
    <w:name w:val="ListLabel 28"/>
    <w:qFormat/>
    <w:rsid w:val="00a529ac"/>
    <w:rPr>
      <w:rFonts w:cs="Courier New"/>
    </w:rPr>
  </w:style>
  <w:style w:type="character" w:styleId="ListLabel29" w:customStyle="1">
    <w:name w:val="ListLabel 29"/>
    <w:qFormat/>
    <w:rsid w:val="00a529ac"/>
    <w:rPr>
      <w:rFonts w:eastAsia="Times New Roman" w:cs="Times New Roman"/>
    </w:rPr>
  </w:style>
  <w:style w:type="character" w:styleId="ListLabel30" w:customStyle="1">
    <w:name w:val="ListLabel 30"/>
    <w:qFormat/>
    <w:rsid w:val="00a529ac"/>
    <w:rPr>
      <w:rFonts w:cs="Courier New"/>
    </w:rPr>
  </w:style>
  <w:style w:type="character" w:styleId="ListLabel31" w:customStyle="1">
    <w:name w:val="ListLabel 31"/>
    <w:qFormat/>
    <w:rsid w:val="00a529ac"/>
    <w:rPr>
      <w:rFonts w:cs="Courier New"/>
    </w:rPr>
  </w:style>
  <w:style w:type="character" w:styleId="ListLabel32" w:customStyle="1">
    <w:name w:val="ListLabel 32"/>
    <w:qFormat/>
    <w:rsid w:val="00a529ac"/>
    <w:rPr>
      <w:rFonts w:cs="Courier New"/>
    </w:rPr>
  </w:style>
  <w:style w:type="character" w:styleId="ListLabel33" w:customStyle="1">
    <w:name w:val="ListLabel 33"/>
    <w:qFormat/>
    <w:rsid w:val="00a529ac"/>
    <w:rPr>
      <w:rFonts w:cs="Courier New"/>
    </w:rPr>
  </w:style>
  <w:style w:type="character" w:styleId="ListLabel34" w:customStyle="1">
    <w:name w:val="ListLabel 34"/>
    <w:qFormat/>
    <w:rsid w:val="00a529ac"/>
    <w:rPr>
      <w:rFonts w:cs="Courier New"/>
    </w:rPr>
  </w:style>
  <w:style w:type="character" w:styleId="ListLabel35" w:customStyle="1">
    <w:name w:val="ListLabel 35"/>
    <w:qFormat/>
    <w:rsid w:val="00a529ac"/>
    <w:rPr>
      <w:rFonts w:cs="Courier New"/>
    </w:rPr>
  </w:style>
  <w:style w:type="character" w:styleId="ListLabel36" w:customStyle="1">
    <w:name w:val="ListLabel 36"/>
    <w:qFormat/>
    <w:rsid w:val="00a529ac"/>
    <w:rPr>
      <w:rFonts w:eastAsia="Times New Roman" w:cs="Times New Roman"/>
    </w:rPr>
  </w:style>
  <w:style w:type="character" w:styleId="ListLabel37" w:customStyle="1">
    <w:name w:val="ListLabel 37"/>
    <w:qFormat/>
    <w:rsid w:val="00a529ac"/>
    <w:rPr>
      <w:rFonts w:cs="Courier New"/>
    </w:rPr>
  </w:style>
  <w:style w:type="character" w:styleId="ListLabel38" w:customStyle="1">
    <w:name w:val="ListLabel 38"/>
    <w:qFormat/>
    <w:rsid w:val="00a529ac"/>
    <w:rPr>
      <w:rFonts w:cs="Courier New"/>
    </w:rPr>
  </w:style>
  <w:style w:type="character" w:styleId="ListLabel39" w:customStyle="1">
    <w:name w:val="ListLabel 39"/>
    <w:qFormat/>
    <w:rsid w:val="00a529ac"/>
    <w:rPr>
      <w:rFonts w:cs="Courier New"/>
    </w:rPr>
  </w:style>
  <w:style w:type="character" w:styleId="ListLabel40" w:customStyle="1">
    <w:name w:val="ListLabel 40"/>
    <w:qFormat/>
    <w:rsid w:val="00a529ac"/>
    <w:rPr>
      <w:rFonts w:eastAsia="Times New Roman" w:cs="Times New Roman"/>
    </w:rPr>
  </w:style>
  <w:style w:type="character" w:styleId="ListLabel41" w:customStyle="1">
    <w:name w:val="ListLabel 41"/>
    <w:qFormat/>
    <w:rsid w:val="00a529ac"/>
    <w:rPr>
      <w:rFonts w:cs="Courier New"/>
    </w:rPr>
  </w:style>
  <w:style w:type="character" w:styleId="ListLabel42" w:customStyle="1">
    <w:name w:val="ListLabel 42"/>
    <w:qFormat/>
    <w:rsid w:val="00a529ac"/>
    <w:rPr>
      <w:rFonts w:cs="Courier New"/>
    </w:rPr>
  </w:style>
  <w:style w:type="character" w:styleId="ListLabel43" w:customStyle="1">
    <w:name w:val="ListLabel 43"/>
    <w:qFormat/>
    <w:rsid w:val="00a529ac"/>
    <w:rPr>
      <w:rFonts w:cs="Courier New"/>
    </w:rPr>
  </w:style>
  <w:style w:type="character" w:styleId="ListLabel44" w:customStyle="1">
    <w:name w:val="ListLabel 44"/>
    <w:qFormat/>
    <w:rsid w:val="00a529ac"/>
    <w:rPr>
      <w:rFonts w:cs="Courier New"/>
    </w:rPr>
  </w:style>
  <w:style w:type="character" w:styleId="ListLabel45" w:customStyle="1">
    <w:name w:val="ListLabel 45"/>
    <w:qFormat/>
    <w:rsid w:val="00a529ac"/>
    <w:rPr>
      <w:rFonts w:cs="Courier New"/>
    </w:rPr>
  </w:style>
  <w:style w:type="character" w:styleId="ListLabel46" w:customStyle="1">
    <w:name w:val="ListLabel 46"/>
    <w:qFormat/>
    <w:rsid w:val="00a529ac"/>
    <w:rPr>
      <w:rFonts w:cs="Courier New"/>
    </w:rPr>
  </w:style>
  <w:style w:type="character" w:styleId="ListLabel47" w:customStyle="1">
    <w:name w:val="ListLabel 47"/>
    <w:qFormat/>
    <w:rsid w:val="00a529ac"/>
    <w:rPr>
      <w:rFonts w:eastAsia="Times New Roman" w:cs="Times New Roman"/>
    </w:rPr>
  </w:style>
  <w:style w:type="character" w:styleId="ListLabel48" w:customStyle="1">
    <w:name w:val="ListLabel 48"/>
    <w:qFormat/>
    <w:rsid w:val="00a529ac"/>
    <w:rPr>
      <w:rFonts w:cs="Courier New"/>
    </w:rPr>
  </w:style>
  <w:style w:type="character" w:styleId="ListLabel49" w:customStyle="1">
    <w:name w:val="ListLabel 49"/>
    <w:qFormat/>
    <w:rsid w:val="00a529ac"/>
    <w:rPr>
      <w:rFonts w:cs="Courier New"/>
    </w:rPr>
  </w:style>
  <w:style w:type="character" w:styleId="ListLabel50" w:customStyle="1">
    <w:name w:val="ListLabel 50"/>
    <w:qFormat/>
    <w:rsid w:val="00a529ac"/>
    <w:rPr>
      <w:rFonts w:cs="Courier New"/>
    </w:rPr>
  </w:style>
  <w:style w:type="character" w:styleId="ListLabel51" w:customStyle="1">
    <w:name w:val="ListLabel 51"/>
    <w:qFormat/>
    <w:rsid w:val="00a529ac"/>
    <w:rPr>
      <w:rFonts w:eastAsia="Times New Roman" w:cs="Times New Roman"/>
    </w:rPr>
  </w:style>
  <w:style w:type="character" w:styleId="ListLabel52" w:customStyle="1">
    <w:name w:val="ListLabel 52"/>
    <w:qFormat/>
    <w:rsid w:val="00a529ac"/>
    <w:rPr>
      <w:rFonts w:cs="Courier New"/>
    </w:rPr>
  </w:style>
  <w:style w:type="character" w:styleId="ListLabel53" w:customStyle="1">
    <w:name w:val="ListLabel 53"/>
    <w:qFormat/>
    <w:rsid w:val="00a529ac"/>
    <w:rPr>
      <w:rFonts w:cs="Courier New"/>
    </w:rPr>
  </w:style>
  <w:style w:type="character" w:styleId="ListLabel54" w:customStyle="1">
    <w:name w:val="ListLabel 54"/>
    <w:qFormat/>
    <w:rsid w:val="00a529ac"/>
    <w:rPr>
      <w:rFonts w:cs="Courier New"/>
    </w:rPr>
  </w:style>
  <w:style w:type="character" w:styleId="ListLabel55" w:customStyle="1">
    <w:name w:val="ListLabel 55"/>
    <w:qFormat/>
    <w:rsid w:val="00a529ac"/>
    <w:rPr>
      <w:rFonts w:cs="Times New Roman"/>
    </w:rPr>
  </w:style>
  <w:style w:type="character" w:styleId="ListLabel56" w:customStyle="1">
    <w:name w:val="ListLabel 56"/>
    <w:qFormat/>
    <w:rsid w:val="00a529ac"/>
    <w:rPr>
      <w:rFonts w:cs="Courier New"/>
    </w:rPr>
  </w:style>
  <w:style w:type="character" w:styleId="ListLabel57" w:customStyle="1">
    <w:name w:val="ListLabel 57"/>
    <w:qFormat/>
    <w:rsid w:val="00a529ac"/>
    <w:rPr>
      <w:rFonts w:cs="Wingdings"/>
    </w:rPr>
  </w:style>
  <w:style w:type="character" w:styleId="ListLabel58" w:customStyle="1">
    <w:name w:val="ListLabel 58"/>
    <w:qFormat/>
    <w:rsid w:val="00a529ac"/>
    <w:rPr>
      <w:rFonts w:cs="Symbol"/>
    </w:rPr>
  </w:style>
  <w:style w:type="character" w:styleId="ListLabel59" w:customStyle="1">
    <w:name w:val="ListLabel 59"/>
    <w:qFormat/>
    <w:rsid w:val="00a529ac"/>
    <w:rPr>
      <w:rFonts w:cs="Courier New"/>
    </w:rPr>
  </w:style>
  <w:style w:type="character" w:styleId="ListLabel60" w:customStyle="1">
    <w:name w:val="ListLabel 60"/>
    <w:qFormat/>
    <w:rsid w:val="00a529ac"/>
    <w:rPr>
      <w:rFonts w:cs="Wingdings"/>
    </w:rPr>
  </w:style>
  <w:style w:type="character" w:styleId="ListLabel61" w:customStyle="1">
    <w:name w:val="ListLabel 61"/>
    <w:qFormat/>
    <w:rsid w:val="00a529ac"/>
    <w:rPr>
      <w:rFonts w:cs="Symbol"/>
    </w:rPr>
  </w:style>
  <w:style w:type="character" w:styleId="ListLabel62" w:customStyle="1">
    <w:name w:val="ListLabel 62"/>
    <w:qFormat/>
    <w:rsid w:val="00a529ac"/>
    <w:rPr>
      <w:rFonts w:cs="Courier New"/>
    </w:rPr>
  </w:style>
  <w:style w:type="character" w:styleId="ListLabel63" w:customStyle="1">
    <w:name w:val="ListLabel 63"/>
    <w:qFormat/>
    <w:rsid w:val="00a529ac"/>
    <w:rPr>
      <w:rFonts w:cs="Wingdings"/>
    </w:rPr>
  </w:style>
  <w:style w:type="character" w:styleId="ListLabel64">
    <w:name w:val="ListLabel 64"/>
    <w:qFormat/>
    <w:rPr>
      <w:rFonts w:cs="Times New Roman"/>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paragraph" w:styleId="Stilnaslova" w:customStyle="1">
    <w:name w:val="Stil naslova"/>
    <w:basedOn w:val="Normal"/>
    <w:next w:val="Tijeloteksta"/>
    <w:qFormat/>
    <w:rsid w:val="00a529ac"/>
    <w:pPr>
      <w:keepNext w:val="true"/>
      <w:spacing w:before="240" w:after="120"/>
    </w:pPr>
    <w:rPr>
      <w:rFonts w:ascii="Liberation Sans" w:hAnsi="Liberation Sans" w:eastAsia="Microsoft YaHei" w:cs="Mangal"/>
      <w:sz w:val="28"/>
      <w:szCs w:val="28"/>
    </w:rPr>
  </w:style>
  <w:style w:type="paragraph" w:styleId="Tijeloteksta">
    <w:name w:val="Body Text"/>
    <w:basedOn w:val="Normal"/>
    <w:rsid w:val="00a529ac"/>
    <w:pPr>
      <w:spacing w:lineRule="auto" w:line="288" w:before="0" w:after="140"/>
    </w:pPr>
    <w:rPr/>
  </w:style>
  <w:style w:type="paragraph" w:styleId="Popis">
    <w:name w:val="List"/>
    <w:basedOn w:val="Tijeloteksta"/>
    <w:rsid w:val="00a529ac"/>
    <w:pPr/>
    <w:rPr>
      <w:rFonts w:cs="Mang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a529ac"/>
    <w:pPr>
      <w:suppressLineNumbers/>
    </w:pPr>
    <w:rPr>
      <w:rFonts w:cs="Mangal"/>
    </w:rPr>
  </w:style>
  <w:style w:type="paragraph" w:styleId="Opisslike1" w:customStyle="1">
    <w:name w:val="Opis slike1"/>
    <w:basedOn w:val="Normal"/>
    <w:qFormat/>
    <w:rsid w:val="00a529ac"/>
    <w:pPr>
      <w:suppressLineNumbers/>
      <w:spacing w:before="120" w:after="120"/>
    </w:pPr>
    <w:rPr>
      <w:rFonts w:cs="Mangal"/>
      <w:i/>
      <w:iCs/>
    </w:rPr>
  </w:style>
  <w:style w:type="paragraph" w:styleId="BalloonText">
    <w:name w:val="Balloon Text"/>
    <w:basedOn w:val="Normal"/>
    <w:semiHidden/>
    <w:qFormat/>
    <w:rsid w:val="00325322"/>
    <w:pPr/>
    <w:rPr>
      <w:rFonts w:ascii="Tahoma" w:hAnsi="Tahoma" w:cs="Tahoma"/>
      <w:sz w:val="16"/>
      <w:szCs w:val="16"/>
    </w:rPr>
  </w:style>
  <w:style w:type="paragraph" w:styleId="DocumentMap">
    <w:name w:val="Document Map"/>
    <w:basedOn w:val="Normal"/>
    <w:semiHidden/>
    <w:qFormat/>
    <w:rsid w:val="006d58b6"/>
    <w:pPr>
      <w:shd w:val="clear" w:color="auto" w:fill="000080"/>
    </w:pPr>
    <w:rPr>
      <w:rFonts w:ascii="Tahoma" w:hAnsi="Tahoma" w:cs="Tahoma"/>
      <w:sz w:val="20"/>
      <w:szCs w:val="20"/>
    </w:rPr>
  </w:style>
  <w:style w:type="paragraph" w:styleId="ListParagraph">
    <w:name w:val="List Paragraph"/>
    <w:basedOn w:val="Normal"/>
    <w:uiPriority w:val="34"/>
    <w:qFormat/>
    <w:rsid w:val="00481cdd"/>
    <w:pPr>
      <w:ind w:left="708" w:hanging="0"/>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rsid w:val="009c56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DB30B-889E-4084-9816-BF99F486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Application>LibreOffice/6.2.8.2$Windows_X86_64 LibreOffice_project/f82ddfca21ebc1e222a662a32b25c0c9d20169ee</Application>
  <Pages>8</Pages>
  <Words>1125</Words>
  <Characters>6977</Characters>
  <CharactersWithSpaces>8311</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2022-01-30T10:32:00Z</dcterms:created>
  <dc:creator>racunovodstvo</dc:creator>
  <dc:description/>
  <dc:language>hr-HR</dc:language>
  <cp:lastModifiedBy>Windows korisnik</cp:lastModifiedBy>
  <cp:lastPrinted>2021-01-31T20:33:00Z</cp:lastPrinted>
  <dcterms:modified xsi:type="dcterms:W3CDTF">2022-01-30T13:32:00Z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